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web"/>
        <w:shd w:val="clear" w:fill="FFFFFF"/>
        <w:spacing w:lineRule="atLeast" w:line="375" w:before="0" w:after="0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Emphasis"/>
          <w:rFonts w:cs="Arial" w:ascii="Arial" w:hAnsi="Arial"/>
          <w:sz w:val="21"/>
          <w:szCs w:val="21"/>
        </w:rPr>
        <w:t>DOHODA O ODPOVĚDNOSTI K OCHRANĚ HODNOT SVĚŘENÝCH ZAMĚSTNANCI K VYÚČTOVÁNÍ</w:t>
      </w:r>
    </w:p>
    <w:p>
      <w:pPr>
        <w:pStyle w:val="Normlnweb"/>
        <w:shd w:val="clear" w:fill="FFFFFF"/>
        <w:spacing w:lineRule="atLeast" w:line="375" w:before="0" w:after="0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Style w:val="StrongEmphasis"/>
          <w:rFonts w:cs="Arial" w:ascii="Arial" w:hAnsi="Arial"/>
          <w:sz w:val="21"/>
          <w:szCs w:val="21"/>
        </w:rPr>
        <w:t>(DOHODA O ODPOVĚDNOSTI)</w:t>
      </w:r>
    </w:p>
    <w:p>
      <w:pPr>
        <w:pStyle w:val="Normal"/>
        <w:rPr>
          <w:rFonts w:ascii="Arial" w:hAnsi="Arial" w:cs="Arial"/>
          <w:b/>
          <w:b/>
          <w:sz w:val="28"/>
          <w:szCs w:val="21"/>
        </w:rPr>
      </w:pPr>
      <w:r>
        <w:rPr>
          <w:rFonts w:cs="Arial" w:ascii="Arial" w:hAnsi="Arial"/>
          <w:b/>
          <w:sz w:val="28"/>
          <w:szCs w:val="21"/>
        </w:rPr>
      </w:r>
    </w:p>
    <w:p>
      <w:pPr>
        <w:pStyle w:val="Heading2"/>
        <w:rPr>
          <w:b w:val="false"/>
          <w:b w:val="false"/>
          <w:sz w:val="20"/>
        </w:rPr>
      </w:pPr>
      <w:r>
        <w:rPr>
          <w:b w:val="false"/>
          <w:sz w:val="20"/>
        </w:rPr>
        <w:t>Zaměstnavatel:   Organizace,  její adresa</w:t>
      </w:r>
    </w:p>
    <w:p>
      <w:pPr>
        <w:pStyle w:val="Normal"/>
        <w:rPr>
          <w:sz w:val="20"/>
        </w:rPr>
      </w:pPr>
      <w:r>
        <w:rPr>
          <w:sz w:val="20"/>
        </w:rPr>
        <w:t xml:space="preserve">Zastoupená: </w:t>
        <w:tab/>
        <w:t>XXXX</w:t>
      </w:r>
    </w:p>
    <w:p>
      <w:pPr>
        <w:pStyle w:val="Normal"/>
        <w:rPr>
          <w:sz w:val="20"/>
        </w:rPr>
      </w:pPr>
      <w:r>
        <w:rPr>
          <w:sz w:val="20"/>
        </w:rPr>
        <w:t>ze strany jedné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a zaměstnanec: </w:t>
        <w:tab/>
      </w:r>
      <w:r>
        <w:rPr>
          <w:b/>
          <w:sz w:val="20"/>
        </w:rPr>
        <w:t xml:space="preserve">XXXX    </w:t>
      </w:r>
      <w:r>
        <w:rPr>
          <w:sz w:val="20"/>
        </w:rPr>
        <w:t xml:space="preserve"> </w:t>
      </w:r>
    </w:p>
    <w:p>
      <w:pPr>
        <w:pStyle w:val="Normal"/>
        <w:rPr>
          <w:sz w:val="20"/>
        </w:rPr>
      </w:pPr>
      <w:r>
        <w:rPr>
          <w:sz w:val="20"/>
        </w:rPr>
        <w:t xml:space="preserve">narozen dne: </w:t>
        <w:tab/>
        <w:t>XXXX</w:t>
      </w:r>
    </w:p>
    <w:p>
      <w:pPr>
        <w:pStyle w:val="Normal"/>
        <w:rPr>
          <w:sz w:val="20"/>
        </w:rPr>
      </w:pPr>
      <w:r>
        <w:rPr>
          <w:sz w:val="20"/>
        </w:rPr>
        <w:t xml:space="preserve">bytem: </w:t>
        <w:tab/>
        <w:tab/>
        <w:t xml:space="preserve">XXXX    </w:t>
      </w:r>
    </w:p>
    <w:p>
      <w:pPr>
        <w:pStyle w:val="Normal"/>
        <w:rPr>
          <w:sz w:val="20"/>
        </w:rPr>
      </w:pPr>
      <w:r>
        <w:rPr>
          <w:sz w:val="20"/>
        </w:rPr>
        <w:t>pracoviště:</w:t>
        <w:tab/>
        <w:t>XXXXX</w:t>
      </w:r>
    </w:p>
    <w:p>
      <w:pPr>
        <w:pStyle w:val="Normal"/>
        <w:rPr>
          <w:sz w:val="20"/>
        </w:rPr>
      </w:pPr>
      <w:r>
        <w:rPr>
          <w:sz w:val="20"/>
        </w:rPr>
        <w:t>ze strany druhé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Footer"/>
        <w:tabs>
          <w:tab w:val="clear" w:pos="4536"/>
          <w:tab w:val="clear" w:pos="9072"/>
        </w:tabs>
        <w:rPr/>
      </w:pPr>
      <w:r>
        <w:rPr>
          <w:sz w:val="20"/>
        </w:rPr>
        <w:t>uzavírají ve smyslu § 256 Zákoníku práce</w:t>
      </w:r>
    </w:p>
    <w:p>
      <w:pPr>
        <w:pStyle w:val="Heading3"/>
        <w:rPr>
          <w:sz w:val="20"/>
        </w:rPr>
      </w:pPr>
      <w:r>
        <w:rPr>
          <w:sz w:val="20"/>
        </w:rPr>
        <w:t>DOHODU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065" w:leader="none"/>
        </w:tabs>
        <w:rPr>
          <w:sz w:val="20"/>
        </w:rPr>
      </w:pPr>
      <w:r>
        <w:rPr>
          <w:sz w:val="20"/>
        </w:rPr>
        <w:t>o převzetí odpovědnosti za schodek na svěřených hodnotách, které je zaměstnanec povinen vyúčtovat:</w:t>
      </w:r>
    </w:p>
    <w:p>
      <w:pPr>
        <w:pStyle w:val="Normal"/>
        <w:tabs>
          <w:tab w:val="clear" w:pos="708"/>
          <w:tab w:val="left" w:pos="1065" w:leader="none"/>
        </w:tabs>
        <w:rPr>
          <w:sz w:val="20"/>
        </w:rPr>
      </w:pPr>
      <w:r>
        <w:rPr>
          <w:sz w:val="20"/>
        </w:rPr>
      </w:r>
    </w:p>
    <w:p>
      <w:pPr>
        <w:pStyle w:val="Normlnweb"/>
        <w:rPr/>
      </w:pPr>
      <w:r>
        <w:rPr>
          <w:sz w:val="20"/>
          <w:szCs w:val="20"/>
        </w:rPr>
        <w:t xml:space="preserve">1. Zaměstnanec je u zaměstnavatele zaměstnán jako knihovník. Protože s touto funkcí je spojená hmotná odpovědnost, přebírá zaměstnanec touto dohodou odpovědnost za svěřené hodnoty. Těmito hodnotami je pokladní hotovost. </w:t>
      </w:r>
    </w:p>
    <w:p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4. Zaměstnanec odpovídá za schodek zjištěný při inventarizaci, pokud neprokáže, že tento schodek nezavinil. </w:t>
      </w:r>
    </w:p>
    <w:p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5. Zaměstnanec se zavazuje všechny hodnoty řádně vyúčtovat a udělat vše pro to, aby nevznikala na svěřených hodnotách škoda. Zjistí-li zaměstnanec, že nemá vytvořeny podmínky k péči o svěřené hodnoty, je povinen na to bez zbytečného odkladu písemně upozornit svého nadřízeného. </w:t>
      </w:r>
    </w:p>
    <w:p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6. Zaměstnavatel se zavazuje vytvořit všem hmotně odpovědným zaměstnancům podmínky pro řádný výkon povinností a bez zbytečného odkladu odstranit všechny nedostatky, na které některý zaměstnanec upozorní. </w:t>
      </w:r>
    </w:p>
    <w:p>
      <w:pPr>
        <w:pStyle w:val="Normlnweb"/>
        <w:rPr/>
      </w:pPr>
      <w:r>
        <w:rPr>
          <w:sz w:val="20"/>
          <w:szCs w:val="20"/>
        </w:rPr>
        <w:t xml:space="preserve">7. Tato dohoda zaniká skončením pracovního poměru. Před skončením pracovního poměru může dohoda zaniknout odstoupením podle § 253 zákoníku práce. </w:t>
      </w:r>
    </w:p>
    <w:p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8. Další podmínky odpovědnosti za případný schodek na hodnotách svěřených k vyúčtování vyplývají z ustanovení zákoníku práce a dalších pracovněprávních přepisů. </w:t>
      </w:r>
    </w:p>
    <w:p>
      <w:pPr>
        <w:pStyle w:val="TextBody"/>
        <w:jc w:val="left"/>
        <w:rPr/>
      </w:pPr>
      <w:r>
        <w:rPr/>
        <w:br/>
        <w:t>9. Dohoda je sepsána ve dvou vyhotoveních. Jedno z nich obdrží zaměstnanec, jedno zaměstnavatel.</w:t>
        <w:br/>
        <w:br/>
        <w:br/>
        <w:br/>
        <w:br/>
        <w:t>V xxxx, dne XXXXX</w:t>
      </w:r>
    </w:p>
    <w:p>
      <w:pPr>
        <w:pStyle w:val="TextBody"/>
        <w:jc w:val="left"/>
        <w:rPr/>
      </w:pPr>
      <w:r>
        <w:rPr/>
      </w:r>
    </w:p>
    <w:p>
      <w:pPr>
        <w:pStyle w:val="TextBody"/>
        <w:jc w:val="left"/>
        <w:rPr/>
      </w:pPr>
      <w:r>
        <w:rPr/>
      </w:r>
    </w:p>
    <w:p>
      <w:pPr>
        <w:pStyle w:val="TextBody"/>
        <w:jc w:val="left"/>
        <w:rPr/>
      </w:pPr>
      <w:r>
        <w:rPr/>
        <w:br/>
        <w:br/>
        <w:t>…………………………………..</w:t>
        <w:tab/>
        <w:tab/>
        <w:tab/>
        <w:t xml:space="preserve">                           …………………………………………</w:t>
      </w:r>
    </w:p>
    <w:p>
      <w:pPr>
        <w:pStyle w:val="TextBody"/>
        <w:rPr/>
      </w:pPr>
      <w:r>
        <w:rPr/>
        <w:t xml:space="preserve">              </w:t>
      </w:r>
      <w:r>
        <w:rPr/>
        <w:t>zaměstnanec</w:t>
        <w:tab/>
        <w:tab/>
        <w:tab/>
        <w:tab/>
        <w:tab/>
        <w:t xml:space="preserve">                           XXXXXXXXX</w:t>
      </w:r>
    </w:p>
    <w:p>
      <w:pPr>
        <w:pStyle w:val="TextBody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 xml:space="preserve">ředitelka </w:t>
      </w:r>
    </w:p>
    <w:p>
      <w:pPr>
        <w:pStyle w:val="TextBody"/>
        <w:rPr/>
      </w:pPr>
      <w:r>
        <w:rPr/>
      </w:r>
    </w:p>
    <w:p>
      <w:pPr>
        <w:pStyle w:val="Normal"/>
        <w:spacing w:before="0" w:after="120"/>
        <w:jc w:val="left"/>
        <w:rPr>
          <w:i/>
          <w:i/>
          <w:sz w:val="20"/>
        </w:rPr>
      </w:pPr>
      <w:r>
        <w:rPr>
          <w:i/>
          <w:sz w:val="20"/>
        </w:rPr>
        <w:t xml:space="preserve">Upozornění: </w:t>
      </w:r>
    </w:p>
    <w:p>
      <w:pPr>
        <w:pStyle w:val="TextBody"/>
        <w:jc w:val="left"/>
        <w:rPr>
          <w:i/>
          <w:i/>
        </w:rPr>
      </w:pPr>
      <w:r>
        <w:rPr>
          <w:i/>
        </w:rPr>
        <w:t>Vzorový dokument má obecnou informativní povahu a při jeho použití je třeba brát v úvahu, že každý případ je individuální a vzorový dokument nepokrývá všechny situace, které mohou v praxi knihovny nastat.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andardnpsmoodstavce">
    <w:name w:val="Standardní písmo odstavce"/>
    <w:qFormat/>
    <w:rPr/>
  </w:style>
  <w:style w:type="character" w:styleId="StrongEmphasis">
    <w:name w:val="Strong Emphasis"/>
    <w:qFormat/>
    <w:rPr>
      <w:b/>
      <w:bCs/>
    </w:rPr>
  </w:style>
  <w:style w:type="character" w:styleId="RozvrendokumentuChar">
    <w:name w:val="Rozvržení dokumentu Char"/>
    <w:basedOn w:val="Standardnpsmoodstavce"/>
    <w:qFormat/>
    <w:rPr>
      <w:rFonts w:ascii="Tahoma" w:hAnsi="Tahoma" w:cs="Tahoma"/>
      <w:shd w:fill="000080" w:val="clear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28"/>
    </w:rPr>
  </w:style>
  <w:style w:type="paragraph" w:styleId="TextBody">
    <w:name w:val="Body Text"/>
    <w:basedOn w:val="Normal"/>
    <w:pPr/>
    <w:rPr>
      <w:sz w:val="20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web">
    <w:name w:val="Normální (web)"/>
    <w:basedOn w:val="Normal"/>
    <w:qFormat/>
    <w:pPr>
      <w:spacing w:before="100" w:after="100"/>
      <w:jc w:val="left"/>
    </w:pPr>
    <w:rPr>
      <w:szCs w:val="24"/>
    </w:rPr>
  </w:style>
  <w:style w:type="paragraph" w:styleId="Rozvrendokumentu">
    <w:name w:val="Rozvržení dokumentu"/>
    <w:basedOn w:val="Normal"/>
    <w:qFormat/>
    <w:pPr>
      <w:shd w:val="clear" w:fill="000080"/>
      <w:jc w:val="left"/>
    </w:pPr>
    <w:rPr>
      <w:rFonts w:ascii="Tahoma" w:hAnsi="Tahoma" w:cs="Tahoma"/>
      <w:sz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263</Words>
  <Characters>1652</Characters>
  <CharactersWithSpaces>2127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2022-02-11T16:42:42Z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