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  <w:color w:val="0070C0"/>
          <w:sz w:val="30"/>
          <w:szCs w:val="30"/>
        </w:rPr>
      </w:pPr>
      <w:bookmarkStart w:id="0" w:name="_Hlk479319753"/>
      <w:bookmarkEnd w:id="0"/>
      <w:r>
        <w:rPr>
          <w:b/>
          <w:color w:val="0070C0"/>
          <w:sz w:val="30"/>
          <w:szCs w:val="30"/>
        </w:rPr>
        <w:t>PERSONÁLNÍ OBLAST_PRACOVNÍ PRÁVO_VZORY DLE ZP</w:t>
      </w:r>
    </w:p>
    <w:p>
      <w:pPr>
        <w:pStyle w:val="Normal"/>
        <w:spacing w:before="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Stanovy odborové organizace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(Manuál pro zaměstnance)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Upozornění: </w:t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  <w:r>
        <w:br w:type="page"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VZOR DOKUMENTU: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Odborová organizace </w:t>
      </w:r>
      <w:r>
        <w:rPr>
          <w:i/>
          <w:iCs/>
        </w:rPr>
        <w:t>(název organizace)</w:t>
      </w:r>
      <w:r>
        <w:rPr/>
        <w:t xml:space="preserve"> 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I. ÚVODNÍ USTANOVENÍ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Odborová organizace </w:t>
      </w:r>
      <w:r>
        <w:rPr>
          <w:i/>
          <w:iCs/>
        </w:rPr>
        <w:t>(název organizace)</w:t>
      </w:r>
      <w:r>
        <w:rPr/>
        <w:t>……………………………………………………….... (dále jen „Organizace“) je odborovou organizací sdružující na základě dobrovolnosti a společných zájmů ………………………………………………………………….........................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Sídlem Organizace je ……………………………………………………………………………………… </w:t>
      </w:r>
      <w:r>
        <w:rPr>
          <w:i/>
          <w:iCs/>
        </w:rPr>
        <w:t>(obvykle adresa zaměstnavatele, u něhož odborová organizace působí)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II. POSLÁNÍ A ZÁSADY ORGANIZACE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Posláním Organizace je:</w:t>
      </w:r>
    </w:p>
    <w:p>
      <w:pPr>
        <w:pStyle w:val="Normal"/>
        <w:widowControl w:val="false"/>
        <w:numPr>
          <w:ilvl w:val="0"/>
          <w:numId w:val="10"/>
        </w:numPr>
        <w:spacing w:before="60" w:after="0"/>
        <w:jc w:val="both"/>
        <w:rPr/>
      </w:pPr>
      <w:r>
        <w:rPr/>
        <w:t>Prosazovat a obhajovat profesní, pracovní, ekonomické a sociální zájmy svých členů prostřednictvím kolektivního vyjednávání a dalšího jednání a působení u zaměstnavatele, a prostřednictvím působení na další relevantní subjekty (např. orgány státní správy a samosprávy ad.).</w:t>
      </w:r>
    </w:p>
    <w:p>
      <w:pPr>
        <w:pStyle w:val="Normal"/>
        <w:widowControl w:val="false"/>
        <w:numPr>
          <w:ilvl w:val="0"/>
          <w:numId w:val="10"/>
        </w:numPr>
        <w:spacing w:before="60" w:after="0"/>
        <w:jc w:val="both"/>
        <w:rPr/>
      </w:pPr>
      <w:r>
        <w:rPr/>
        <w:t>Usilovat o dosažení a zajištění důstojných pracovních podmínek, spravedlivého ohodnocení a odpovídající společenské prestiže svých členů.</w:t>
      </w:r>
    </w:p>
    <w:p>
      <w:pPr>
        <w:pStyle w:val="Normal"/>
        <w:widowControl w:val="false"/>
        <w:numPr>
          <w:ilvl w:val="0"/>
          <w:numId w:val="10"/>
        </w:numPr>
        <w:spacing w:before="60" w:after="0"/>
        <w:jc w:val="both"/>
        <w:rPr/>
      </w:pPr>
      <w:r>
        <w:rPr/>
        <w:t>Vykonávat u zaměstnavatele kontrolu nad stavem bezpečnosti a ochrany zdraví při práci.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Organizace je budována a působí na základě zásad:</w:t>
      </w:r>
    </w:p>
    <w:p>
      <w:pPr>
        <w:pStyle w:val="Normal"/>
        <w:widowControl w:val="false"/>
        <w:numPr>
          <w:ilvl w:val="0"/>
          <w:numId w:val="11"/>
        </w:numPr>
        <w:spacing w:before="60" w:after="0"/>
        <w:jc w:val="both"/>
        <w:rPr/>
      </w:pPr>
      <w:r>
        <w:rPr/>
        <w:t>demokracie</w:t>
      </w:r>
    </w:p>
    <w:p>
      <w:pPr>
        <w:pStyle w:val="Normal"/>
        <w:widowControl w:val="false"/>
        <w:numPr>
          <w:ilvl w:val="0"/>
          <w:numId w:val="11"/>
        </w:numPr>
        <w:spacing w:before="60" w:after="0"/>
        <w:jc w:val="both"/>
        <w:rPr/>
      </w:pPr>
      <w:r>
        <w:rPr/>
        <w:t>svobody sdružování</w:t>
      </w:r>
    </w:p>
    <w:p>
      <w:pPr>
        <w:pStyle w:val="Normal"/>
        <w:widowControl w:val="false"/>
        <w:numPr>
          <w:ilvl w:val="0"/>
          <w:numId w:val="11"/>
        </w:numPr>
        <w:spacing w:before="60" w:after="0"/>
        <w:jc w:val="both"/>
        <w:rPr/>
      </w:pPr>
      <w:r>
        <w:rPr/>
        <w:t>ekonomické i právní nezávislosti na zaměstnavateli/zaměstnavatelích a politických stranách</w:t>
      </w:r>
    </w:p>
    <w:p>
      <w:pPr>
        <w:pStyle w:val="Normal"/>
        <w:widowControl w:val="false"/>
        <w:numPr>
          <w:ilvl w:val="0"/>
          <w:numId w:val="11"/>
        </w:numPr>
        <w:spacing w:before="60" w:after="0"/>
        <w:jc w:val="both"/>
        <w:rPr/>
      </w:pPr>
      <w:r>
        <w:rPr/>
        <w:t>vzájemnosti a solidarity.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Organizace má právní osobnost a je oprávněna jednat vlastním jménem.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Splněním podmínek stanovených v § 286 odst. 3 zákona č. 262/2006 Sb., zákoník práce, ve znění pozdějších předpisů (dále jen „zákoník práce“) působí Organizace u zaměstnavatele a na základě splnění oznamovací povinnosti uvedené v § 286 odst. 4 zákoníku práce má právo s tímto zaměstnavatelem jednat, kolektivně vyjednávat a uzavírat kolektivní smlouvy.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III. ORGANIZAČNÍ USPOŘÁDÁNÍ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Orgány Organizace jsou:</w:t>
      </w:r>
    </w:p>
    <w:p>
      <w:pPr>
        <w:pStyle w:val="Normal"/>
        <w:numPr>
          <w:ilvl w:val="1"/>
          <w:numId w:val="12"/>
        </w:numPr>
        <w:jc w:val="both"/>
        <w:rPr/>
      </w:pPr>
      <w:r>
        <w:rPr/>
        <w:t>Členská schůze</w:t>
      </w:r>
    </w:p>
    <w:p>
      <w:pPr>
        <w:pStyle w:val="Normal"/>
        <w:numPr>
          <w:ilvl w:val="1"/>
          <w:numId w:val="12"/>
        </w:numPr>
        <w:jc w:val="both"/>
        <w:rPr/>
      </w:pPr>
      <w:r>
        <w:rPr/>
        <w:t>Výbor Organizace</w:t>
      </w:r>
    </w:p>
    <w:p>
      <w:pPr>
        <w:pStyle w:val="Normal"/>
        <w:numPr>
          <w:ilvl w:val="1"/>
          <w:numId w:val="12"/>
        </w:numPr>
        <w:jc w:val="both"/>
        <w:rPr/>
      </w:pPr>
      <w:r>
        <w:rPr/>
        <w:t>Předseda Výboru/Předseda Organizace</w:t>
      </w:r>
    </w:p>
    <w:p>
      <w:pPr>
        <w:pStyle w:val="Normal"/>
        <w:numPr>
          <w:ilvl w:val="1"/>
          <w:numId w:val="12"/>
        </w:numPr>
        <w:jc w:val="both"/>
        <w:rPr/>
      </w:pPr>
      <w:r>
        <w:rPr/>
        <w:t>Revizní komise/Revizor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IV. ČLENSKÁ SCHŮZE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Nejvyšším orgánem Organizace je Členská schůze.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Členskou schůzi Organizace svolává Předseda Výboru/Předseda Organizace podle potřeb, nebo na žádost alespoň jedné třetiny členů Organizace.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Členská schůze rozhoduje o všech záležitostech souvisejících s činností Organizace, a to zejména: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stanoví program činnosti Organizace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schvaluje Stanovy Organizace, případně jejich změny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schvaluje zásady hospodaření Organizace a roční rozpočty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rozhoduje o způsobu volby a o počtu členů Výboru Organizace a Revizní komise/Revizora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volí Výbor Organizace (a Předsedu Organizace)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volí Revizní komisi/Revizora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přijímá a hodnotí zprávy Výboru Organizace/Předsedy Organizace a kontroluje jeho činnost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projednává návrh kolektivní smlouvy a zásadní dokumenty, o kterých jedná Výbor Organizace se zaměstnavatelem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rozhoduje o způsobech spolupráce s ostatními odborovými organizacemi působícími u zaměstnavatele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schvaluje zprávu o hospodaření Organizace, kontroluje použití finančních prostředků, které tvoří zejména členské příspěvky, výnosy z vlastní činnosti, příspěvek z FKSP a příp. z dalších mimořádných fondů, dotací a darů.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V. VÝBOR ORGANIZACE A PŘEDSEDA VÝBORU/ORGANIZACE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Výbor Organizace je statutárním orgánem Organizace. Za Výbor Organizace je oprávněn právně jednat Předseda Výboru/Organizace.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Členem Výboru Organizace/Předsedou Organizace může být jen člen Organizace.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Všichni členové Výboru Organizace jsou členy orgánu odborové organizace působící u zaměstnavatele ve smyslu § 61 odst. 2 zákoníku práce.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 xml:space="preserve">Funkční období členů Výboru Organizace/Předsedy Organizace je ……………. </w:t>
      </w:r>
      <w:r>
        <w:rPr>
          <w:i/>
          <w:iCs/>
        </w:rPr>
        <w:t>(dvouleté, tříleté, čtyřleté)</w:t>
      </w:r>
      <w:r>
        <w:rPr/>
        <w:t>. Minimální počet členů Výboru Organizace je tři, maximální počet členů Výboru Organizace je ……………. (</w:t>
      </w:r>
      <w:r>
        <w:rPr>
          <w:i/>
          <w:iCs/>
        </w:rPr>
        <w:t>např. sedm</w:t>
      </w:r>
      <w:r>
        <w:rPr/>
        <w:t>). Počet členů Výboru Organizace je vždy lichý. Je-li počet členů Výboru Organizace mimořádně sudý (například v důsledku rezignace některého z členů) a při hlasování došlo k nerozhodnému výsledku, má Předseda Výboru/Organizace dva hlasy.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Členská schůze může člena Výboru Organizace/Předsedu odvolat. V takovém případě Členská schůze bezodkladně, nejpozději do …………… (</w:t>
      </w:r>
      <w:r>
        <w:rPr>
          <w:i/>
          <w:iCs/>
        </w:rPr>
        <w:t>např. 30 dnů</w:t>
      </w:r>
      <w:r>
        <w:rPr/>
        <w:t xml:space="preserve">), zvolí nového člena Výboru Organizace/Předsedu Organizace. 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 xml:space="preserve">Výbor Organizace volí jednoho ze svých členů Předsedou Výboru. Nezvolí-li Výbor Organizace Předsedu Výboru, svolá bezodkladně Členskou schůzi, která Předsedu Výboru zvolí. </w:t>
      </w:r>
      <w:r>
        <w:rPr>
          <w:i/>
          <w:iCs/>
        </w:rPr>
        <w:t>(Toto ustanovení se použije v případě, že Předsedu Organizace nevolí Členská schůze, ale členskou schůzí zvolený Výbor Organizace.)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Výbor Organizace může v závislosti na velikosti a potřebách volit i další své funkcionáře (např. místopředsedu hospodáře).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Předseda Výboru/Organizace je oprávněn za Organizaci právně jednat ve všech záležitostech, včetně kolektivního vyjednávání se zaměstnavatelem, a to zpravidla v součinnosti s dalšími členy Výboru Organizace.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Ve své činnosti je Předseda Výboru/Organizace vázán usneseními Členské schůze, popřípadě Výboru Organizace.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Výbor Organizace: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zajišťuje úkoly, jimiž byl pověřen Členskou schůzí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vykonává oprávnění, která podle pracovněprávních a dalších předpisů přísluší odborovým organizacím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v rámci schválených zásad hospodaření a v souladu s ročními rozpočty hospodaří s finančními prostředky Organizace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pravidelně informuje Členskou schůzi o výsledku hospodaření Organizace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v souladu se zákonem č. 2/1991 Sb. o kolektivním vyjednávání, ve znění pozdějších předpisů, kolektivně vyjednává a uzavírá kolektivní smlouvu.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VI. REVIZNÍ KOMISE/REVIZOR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5"/>
        </w:numPr>
        <w:jc w:val="both"/>
        <w:rPr/>
      </w:pPr>
      <w:r>
        <w:rPr/>
        <w:t>Revizní komise/Revizor kontroluje hospodaření Organizace podle zásad a pravidel schválených Členskou schůzí a nejméně jednou ročně informuje Členskou schůzi o výsledcích provedené kontroly.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5"/>
        </w:numPr>
        <w:jc w:val="both"/>
        <w:rPr/>
      </w:pPr>
      <w:r>
        <w:rPr/>
        <w:t>Výbor Organizace je povinen poskytnout Revizní komisi/Revizorovi za účelem provedení kontroly potřebné podklady.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VII. ČLENSTVÍ V ORGANIZACI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Členem Organizace se může stát jen fyzická osoba uvedená v bodu I. 1. těchto Stanov.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Členství v Organizaci je dobrovolné.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Fyzická osoba se stává členem Organizace na základě písemné přihlášky, pokud Výbor Organizace rozhodne o jejím přijetí.</w:t>
      </w:r>
    </w:p>
    <w:p>
      <w:pPr>
        <w:pStyle w:val="ListParagraph"/>
        <w:rPr/>
      </w:pPr>
      <w:r>
        <w:rPr/>
      </w:r>
    </w:p>
    <w:p>
      <w:pPr>
        <w:pStyle w:val="TextBodyIndent"/>
        <w:numPr>
          <w:ilvl w:val="0"/>
          <w:numId w:val="1"/>
        </w:numPr>
        <w:tabs>
          <w:tab w:val="clear" w:pos="708"/>
          <w:tab w:val="left" w:pos="780" w:leader="none"/>
        </w:tabs>
        <w:jc w:val="both"/>
        <w:rPr>
          <w:szCs w:val="24"/>
        </w:rPr>
      </w:pPr>
      <w:r>
        <w:rPr>
          <w:szCs w:val="24"/>
        </w:rPr>
        <w:t>V případě, že Výbor zamítne žádost o přijetí za člena Organizace může se uchazeč o členství odvolat proti tomuto rozhodnutí k Členské schůzi.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Členství vzniká dnem rozhodnutí o přijetí fyzické osoby za člena, případně jiným dnem uvedeným v rozhodnutí. O tomto rozhodnutí Výbor Organizace nově přijatého člena bez zbytečného odkladu uvědomí.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Členství v Organizaci zaniká: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na základě písemného oznámení člena o ukončení členství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na základě rozhodnutí Výboru Organizace o vyloučení člena z důvodu hrubého porušení povinností nebo těchto Stanov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 </w:t>
      </w:r>
      <w:r>
        <w:rPr/>
        <w:t>úmrtím člena.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TextBodyIndent"/>
        <w:numPr>
          <w:ilvl w:val="0"/>
          <w:numId w:val="1"/>
        </w:numPr>
        <w:tabs>
          <w:tab w:val="clear" w:pos="708"/>
          <w:tab w:val="left" w:pos="780" w:leader="none"/>
        </w:tabs>
        <w:jc w:val="both"/>
        <w:rPr>
          <w:szCs w:val="24"/>
        </w:rPr>
      </w:pPr>
      <w:r>
        <w:rPr>
          <w:szCs w:val="24"/>
        </w:rPr>
        <w:t>V případě, že člen Organizace nesouhlasí s rozhodnutím Výboru o vyloučení, může se proti tomuto rozhodnutí odvolat k Členské schůzi.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Za hrubé porušení povinností se považuje zejména případ, kdy člen řádně a včas neuhradil členský příspěvek, ačkoli byl k uhrazení dlužného příspěvku písemně vyzván Výborem Organizace.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 případě žádosti o opakované členství, je žadatel povinen v přihlášce uvést důvody, pro které znovu žádá o členství v Organizaci. O takové žádosti rozhoduje Výbor Organizace.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VIII. PRÁVA A POVINNOSTI ČLENŮ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Každý člen Organizace má zejména právo: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na obhajobu a ochranu svých pracovních a profesních zájmů prostřednictvím orgánů Organizace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na bezplatnou právní poradu v rozsahu daném možnostmi Organizace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na ochranu proti diskriminaci prostřednictvím orgánů Organizace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na účast při tvorbě programu Organizace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volit a být volen do orgánů Organizace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účastnit se schůzí orgánů, které jednají, nebo rozhodují o jeho osobě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na jednorázovou sociální podporu v mimořádně tíživé sociální situaci (např. při dlouhodobé nemoci, živelní pohromě atp.), do níž se dostal bez vlastního zavinění; poskytnutí podpory závisí na finanční situaci Organizace.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Každý člen je povinen: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řádně a včas platit členské příspěvky ve výši …. </w:t>
      </w:r>
      <w:r>
        <w:rPr>
          <w:i/>
          <w:iCs/>
        </w:rPr>
        <w:t>(např. ve výši 1 % z čistého platu/mzdy)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dodržovat tyto Stanovy a usnesení orgánů Organizace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nepoškozovat dobré jméno Organizace.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Povinnost platit členské příspěvky se neuplatňuje v době, kdy člen přerušil výkon výdělečné činnosti z vážného důvodu, jako například z důvodu: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péče o osobu blízkou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čerpání mateřské nebo rodičovské dovolené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delší dobu trvající dočasné pracovní neschopnosti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insolvence (osobního bankrotu).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IX. ZÁVĚREČNÉ USTANOVENÍ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Tyto Stanovy nabývají platnosti dne ………………… a účinnosti dnem, kdy Odborová organizace ……………….. vznikne v důsledku zápisu do veřejného rejstříku.</w:t>
      </w:r>
    </w:p>
    <w:sectPr>
      <w:headerReference w:type="even" r:id="rId2"/>
      <w:headerReference w:type="default" r:id="rId3"/>
      <w:type w:val="nextPage"/>
      <w:pgSz w:w="11906" w:h="16838"/>
      <w:pgMar w:left="720" w:right="720" w:gutter="0" w:header="708" w:top="765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3729990</wp:posOffset>
              </wp:positionH>
              <wp:positionV relativeFrom="paragraph">
                <wp:posOffset>-114935</wp:posOffset>
              </wp:positionV>
              <wp:extent cx="76835" cy="175260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-9.05pt;mso-position-vertical-relative:text;margin-left:293.7pt;mso-position-horizontal-relative:page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29b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ef129b"/>
    <w:rPr>
      <w:rFonts w:eastAsia="Times New Roman" w:cs="Times New Roman"/>
      <w:szCs w:val="24"/>
      <w:lang w:eastAsia="cs-CZ"/>
    </w:rPr>
  </w:style>
  <w:style w:type="character" w:styleId="Pagenumber">
    <w:name w:val="page number"/>
    <w:basedOn w:val="DefaultParagraphFont"/>
    <w:qFormat/>
    <w:rsid w:val="00ef12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773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8773f"/>
    <w:rPr>
      <w:rFonts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8773f"/>
    <w:rPr>
      <w:rFonts w:eastAsia="Times New Roman" w:cs="Times New Roman"/>
      <w:b/>
      <w:bCs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8773f"/>
    <w:rPr>
      <w:rFonts w:ascii="Segoe UI" w:hAnsi="Segoe UI" w:eastAsia="Times New Roman" w:cs="Segoe UI"/>
      <w:sz w:val="18"/>
      <w:szCs w:val="18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48227f"/>
    <w:rPr>
      <w:rFonts w:eastAsia="Times New Roman" w:cs="Times New Roman"/>
      <w:szCs w:val="24"/>
      <w:lang w:eastAsia="cs-CZ"/>
    </w:rPr>
  </w:style>
  <w:style w:type="character" w:styleId="Nowrap" w:customStyle="1">
    <w:name w:val="nowrap"/>
    <w:basedOn w:val="DefaultParagraphFont"/>
    <w:qFormat/>
    <w:rsid w:val="007e22dd"/>
    <w:rPr/>
  </w:style>
  <w:style w:type="character" w:styleId="ZkladntextodsazenChar" w:customStyle="1">
    <w:name w:val="Základní text odsazený Char"/>
    <w:basedOn w:val="DefaultParagraphFont"/>
    <w:link w:val="Zkladntextodsazen"/>
    <w:qFormat/>
    <w:rsid w:val="008b5791"/>
    <w:rPr>
      <w:rFonts w:eastAsia="Times New Roman" w:cs="Times New Roman"/>
      <w:szCs w:val="20"/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ef129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c48a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8773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8773f"/>
    <w:pPr/>
    <w:rPr>
      <w:b/>
      <w:bCs/>
    </w:rPr>
  </w:style>
  <w:style w:type="paragraph" w:styleId="Revision">
    <w:name w:val="Revision"/>
    <w:uiPriority w:val="99"/>
    <w:semiHidden/>
    <w:qFormat/>
    <w:rsid w:val="0008773f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8773f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ZpatChar"/>
    <w:uiPriority w:val="99"/>
    <w:unhideWhenUsed/>
    <w:rsid w:val="004822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odyIndent">
    <w:name w:val="Body Text Indent"/>
    <w:basedOn w:val="Normal"/>
    <w:link w:val="ZkladntextodsazenChar"/>
    <w:rsid w:val="008b5791"/>
    <w:pPr>
      <w:suppressAutoHyphens w:val="true"/>
      <w:ind w:left="426" w:hanging="0"/>
    </w:pPr>
    <w:rPr>
      <w:szCs w:val="20"/>
      <w:lang w:eastAsia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D412-CC29-444E-9425-B2AFDB30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5</Pages>
  <Words>1194</Words>
  <Characters>7489</Characters>
  <CharactersWithSpaces>8514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2022-02-11T16:59:02Z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