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0"/>
        <w:jc w:val="both"/>
        <w:rPr>
          <w:rFonts w:ascii="Arial" w:hAnsi="Arial" w:cs="Arial"/>
          <w:sz w:val="22"/>
          <w:szCs w:val="22"/>
        </w:rPr>
      </w:pPr>
      <w:bookmarkStart w:id="0" w:name="_GoBack"/>
      <w:bookmarkEnd w:id="0"/>
      <w:r>
        <w:rPr>
          <w:rFonts w:cs="Arial" w:ascii="Arial" w:hAnsi="Arial"/>
          <w:sz w:val="22"/>
          <w:szCs w:val="22"/>
        </w:rPr>
        <w:t xml:space="preserve">Povinně zveřejňované informace podle zákona č. 106/1999 Sb., o svobodném přístupu k informacím ve znění pozdějších předpisů, vypracované ve struktuře upravené Vyhláškou </w:t>
        <w:br/>
        <w:t>č. 515/2020 Sb., o struktuře informací zveřejňovaných o povinném subjektu a o osnově popisu úkonů vykonávaných v rámci agendy ve znění pozdějších předpisů</w:t>
      </w:r>
    </w:p>
    <w:p>
      <w:pPr>
        <w:pStyle w:val="Header"/>
        <w:rPr>
          <w:rFonts w:ascii="Arial" w:hAnsi="Arial" w:cs="Arial"/>
          <w:sz w:val="22"/>
          <w:szCs w:val="22"/>
        </w:rPr>
      </w:pPr>
      <w:r>
        <w:rPr>
          <w:rFonts w:cs="Arial" w:ascii="Arial" w:hAnsi="Arial"/>
          <w:sz w:val="22"/>
          <w:szCs w:val="22"/>
        </w:rPr>
      </w:r>
    </w:p>
    <w:tbl>
      <w:tblPr>
        <w:tblW w:w="9143" w:type="dxa"/>
        <w:jc w:val="left"/>
        <w:tblInd w:w="-64" w:type="dxa"/>
        <w:tblLayout w:type="fixed"/>
        <w:tblCellMar>
          <w:top w:w="0" w:type="dxa"/>
          <w:left w:w="70" w:type="dxa"/>
          <w:bottom w:w="0" w:type="dxa"/>
          <w:right w:w="70" w:type="dxa"/>
        </w:tblCellMar>
      </w:tblPr>
      <w:tblGrid>
        <w:gridCol w:w="2897"/>
        <w:gridCol w:w="6245"/>
      </w:tblGrid>
      <w:tr>
        <w:trPr/>
        <w:tc>
          <w:tcPr>
            <w:tcW w:w="2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b/>
                <w:bCs/>
                <w:sz w:val="20"/>
                <w:szCs w:val="20"/>
              </w:rPr>
              <w:t>Označení a uvozovací text</w:t>
            </w:r>
          </w:p>
        </w:tc>
        <w:tc>
          <w:tcPr>
            <w:tcW w:w="62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b/>
                <w:bCs/>
                <w:sz w:val="20"/>
                <w:szCs w:val="20"/>
              </w:rPr>
              <w:t>Obsah položky</w:t>
            </w:r>
          </w:p>
        </w:tc>
      </w:tr>
      <w:tr>
        <w:trPr/>
        <w:tc>
          <w:tcPr>
            <w:tcW w:w="2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1. Název</w:t>
            </w:r>
          </w:p>
        </w:tc>
        <w:tc>
          <w:tcPr>
            <w:tcW w:w="62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KNIHOVNA, příspěvková organizace</w:t>
            </w:r>
          </w:p>
        </w:tc>
      </w:tr>
      <w:tr>
        <w:trPr/>
        <w:tc>
          <w:tcPr>
            <w:tcW w:w="2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2. Důvod a způsob založení</w:t>
            </w:r>
          </w:p>
        </w:tc>
        <w:tc>
          <w:tcPr>
            <w:tcW w:w="62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Příspěvková organizace byla zřízena Městem Xxxxx dne 1. 1. 1993, a to na základě zřizovací listiny</w:t>
            </w:r>
          </w:p>
          <w:p>
            <w:pPr>
              <w:pStyle w:val="Normal"/>
              <w:widowControl w:val="false"/>
              <w:spacing w:lineRule="auto" w:line="240" w:before="0" w:after="0"/>
              <w:rPr>
                <w:rFonts w:ascii="Arial" w:hAnsi="Arial" w:cs="Arial"/>
                <w:sz w:val="20"/>
                <w:szCs w:val="20"/>
              </w:rPr>
            </w:pPr>
            <w:r>
              <w:rPr>
                <w:rFonts w:cs="Arial" w:ascii="Arial" w:hAnsi="Arial"/>
                <w:sz w:val="20"/>
                <w:szCs w:val="20"/>
              </w:rPr>
            </w:r>
          </w:p>
        </w:tc>
      </w:tr>
      <w:tr>
        <w:trPr/>
        <w:tc>
          <w:tcPr>
            <w:tcW w:w="2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3. Organizační struktura</w:t>
            </w:r>
          </w:p>
        </w:tc>
        <w:tc>
          <w:tcPr>
            <w:tcW w:w="6245" w:type="dxa"/>
            <w:tcBorders>
              <w:top w:val="single" w:sz="6" w:space="0" w:color="000000"/>
              <w:left w:val="single" w:sz="6" w:space="0" w:color="000000"/>
              <w:bottom w:val="single" w:sz="6" w:space="0" w:color="000000"/>
              <w:right w:val="single" w:sz="6" w:space="0" w:color="000000"/>
            </w:tcBorders>
          </w:tcPr>
          <w:p>
            <w:pPr>
              <w:pStyle w:val="Odstavecseseznamem"/>
              <w:widowControl w:val="false"/>
              <w:numPr>
                <w:ilvl w:val="0"/>
                <w:numId w:val="2"/>
              </w:numPr>
              <w:spacing w:lineRule="auto" w:line="240" w:before="0" w:after="0"/>
              <w:contextualSpacing/>
              <w:rPr>
                <w:rFonts w:ascii="Arial" w:hAnsi="Arial" w:cs="Arial"/>
                <w:sz w:val="20"/>
                <w:szCs w:val="20"/>
              </w:rPr>
            </w:pPr>
            <w:r>
              <w:rPr>
                <w:rFonts w:cs="Arial" w:ascii="Arial" w:hAnsi="Arial"/>
                <w:sz w:val="20"/>
                <w:szCs w:val="20"/>
              </w:rPr>
              <w:t>Ředitel</w:t>
            </w:r>
          </w:p>
          <w:p>
            <w:pPr>
              <w:pStyle w:val="Odstavecseseznamem"/>
              <w:widowControl w:val="false"/>
              <w:numPr>
                <w:ilvl w:val="0"/>
                <w:numId w:val="2"/>
              </w:numPr>
              <w:spacing w:lineRule="auto" w:line="240" w:before="0" w:after="0"/>
              <w:contextualSpacing/>
              <w:rPr>
                <w:rFonts w:ascii="Arial" w:hAnsi="Arial" w:cs="Arial"/>
                <w:sz w:val="20"/>
                <w:szCs w:val="20"/>
              </w:rPr>
            </w:pPr>
            <w:r>
              <w:rPr>
                <w:rFonts w:cs="Arial" w:ascii="Arial" w:hAnsi="Arial"/>
                <w:sz w:val="20"/>
                <w:szCs w:val="20"/>
              </w:rPr>
              <w:t>Zástupce ředitele</w:t>
            </w:r>
          </w:p>
          <w:p>
            <w:pPr>
              <w:pStyle w:val="Odstavecseseznamem"/>
              <w:widowControl w:val="false"/>
              <w:numPr>
                <w:ilvl w:val="0"/>
                <w:numId w:val="2"/>
              </w:numPr>
              <w:spacing w:lineRule="auto" w:line="240" w:before="0" w:after="0"/>
              <w:contextualSpacing/>
              <w:rPr>
                <w:rFonts w:ascii="Arial" w:hAnsi="Arial" w:cs="Arial"/>
                <w:sz w:val="20"/>
                <w:szCs w:val="20"/>
              </w:rPr>
            </w:pPr>
            <w:r>
              <w:rPr>
                <w:rFonts w:cs="Arial" w:ascii="Arial" w:hAnsi="Arial"/>
                <w:sz w:val="20"/>
                <w:szCs w:val="20"/>
              </w:rPr>
              <w:t>Oddělení knihovnických služeb</w:t>
            </w:r>
          </w:p>
          <w:p>
            <w:pPr>
              <w:pStyle w:val="Odstavecseseznamem"/>
              <w:widowControl w:val="false"/>
              <w:numPr>
                <w:ilvl w:val="0"/>
                <w:numId w:val="2"/>
              </w:numPr>
              <w:spacing w:lineRule="auto" w:line="240" w:before="0" w:after="0"/>
              <w:contextualSpacing/>
              <w:rPr>
                <w:rFonts w:ascii="Arial" w:hAnsi="Arial" w:cs="Arial"/>
                <w:sz w:val="20"/>
                <w:szCs w:val="20"/>
              </w:rPr>
            </w:pPr>
            <w:r>
              <w:rPr>
                <w:rFonts w:cs="Arial" w:ascii="Arial" w:hAnsi="Arial"/>
                <w:sz w:val="20"/>
                <w:szCs w:val="20"/>
              </w:rPr>
              <w:t>Oddělení akvizice a katalogizace</w:t>
            </w:r>
          </w:p>
          <w:p>
            <w:pPr>
              <w:pStyle w:val="Odstavecseseznamem"/>
              <w:widowControl w:val="false"/>
              <w:numPr>
                <w:ilvl w:val="0"/>
                <w:numId w:val="2"/>
              </w:numPr>
              <w:spacing w:lineRule="auto" w:line="240" w:before="0" w:after="0"/>
              <w:contextualSpacing/>
              <w:rPr>
                <w:rFonts w:ascii="Arial" w:hAnsi="Arial" w:cs="Arial"/>
                <w:sz w:val="20"/>
                <w:szCs w:val="20"/>
              </w:rPr>
            </w:pPr>
            <w:r>
              <w:rPr>
                <w:rFonts w:cs="Arial" w:ascii="Arial" w:hAnsi="Arial"/>
                <w:sz w:val="20"/>
                <w:szCs w:val="20"/>
              </w:rPr>
              <w:t>Ekonomické oddělení</w:t>
            </w:r>
          </w:p>
          <w:p>
            <w:pPr>
              <w:pStyle w:val="Odstavecseseznamem"/>
              <w:widowControl w:val="false"/>
              <w:numPr>
                <w:ilvl w:val="0"/>
                <w:numId w:val="2"/>
              </w:numPr>
              <w:spacing w:lineRule="auto" w:line="240" w:before="0" w:after="0"/>
              <w:contextualSpacing/>
              <w:rPr>
                <w:rFonts w:ascii="Arial" w:hAnsi="Arial" w:cs="Arial"/>
                <w:sz w:val="20"/>
                <w:szCs w:val="20"/>
              </w:rPr>
            </w:pPr>
            <w:r>
              <w:rPr>
                <w:rFonts w:cs="Arial" w:ascii="Arial" w:hAnsi="Arial"/>
                <w:sz w:val="20"/>
                <w:szCs w:val="20"/>
              </w:rPr>
              <w:t>Středisko regionálních knihovnických služeb</w:t>
            </w:r>
          </w:p>
          <w:p>
            <w:pPr>
              <w:pStyle w:val="Odstavecseseznamem"/>
              <w:widowControl w:val="false"/>
              <w:numPr>
                <w:ilvl w:val="0"/>
                <w:numId w:val="2"/>
              </w:numPr>
              <w:spacing w:lineRule="auto" w:line="240" w:before="0" w:after="0"/>
              <w:contextualSpacing/>
              <w:rPr>
                <w:rFonts w:ascii="Arial" w:hAnsi="Arial" w:cs="Arial"/>
                <w:sz w:val="20"/>
                <w:szCs w:val="20"/>
              </w:rPr>
            </w:pPr>
            <w:r>
              <w:rPr>
                <w:rFonts w:cs="Arial" w:ascii="Arial" w:hAnsi="Arial"/>
                <w:sz w:val="20"/>
                <w:szCs w:val="20"/>
              </w:rPr>
              <w:t>apod.</w:t>
            </w:r>
          </w:p>
          <w:p>
            <w:pPr>
              <w:pStyle w:val="Normal"/>
              <w:widowControl w:val="false"/>
              <w:spacing w:lineRule="auto" w:line="240" w:before="0" w:after="0"/>
              <w:rPr>
                <w:rFonts w:ascii="Arial" w:hAnsi="Arial" w:cs="Arial"/>
                <w:sz w:val="20"/>
                <w:szCs w:val="20"/>
              </w:rPr>
            </w:pPr>
            <w:r>
              <w:rPr>
                <w:rFonts w:cs="Arial" w:ascii="Arial" w:hAnsi="Arial"/>
                <w:sz w:val="20"/>
                <w:szCs w:val="20"/>
                <w:highlight w:val="yellow"/>
              </w:rPr>
              <w:t>/Alternativně lze uvést hypertextový odkaz na internetové stránky s uvedenými informacemi/</w:t>
            </w:r>
            <w:r>
              <w:rPr>
                <w:rFonts w:cs="Arial" w:ascii="Arial" w:hAnsi="Arial"/>
                <w:sz w:val="20"/>
                <w:szCs w:val="20"/>
              </w:rPr>
              <w:t xml:space="preserve"> </w:t>
            </w:r>
          </w:p>
        </w:tc>
      </w:tr>
      <w:tr>
        <w:trPr/>
        <w:tc>
          <w:tcPr>
            <w:tcW w:w="2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4. Kontaktní spojení</w:t>
            </w:r>
          </w:p>
        </w:tc>
        <w:tc>
          <w:tcPr>
            <w:tcW w:w="62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highlight w:val="yellow"/>
              </w:rPr>
              <w:t>/Doplňte kontaktní údaje příspěvkové organizace, včetně kontaktů na jednotlivé vnitřní útvary nebo pracoviště s upřesňujícími informacemi/</w:t>
            </w:r>
            <w:r>
              <w:rPr>
                <w:rFonts w:cs="Arial" w:ascii="Arial" w:hAnsi="Arial"/>
                <w:sz w:val="20"/>
                <w:szCs w:val="20"/>
              </w:rPr>
              <w:t xml:space="preserve"> </w:t>
            </w:r>
          </w:p>
        </w:tc>
      </w:tr>
      <w:tr>
        <w:trPr/>
        <w:tc>
          <w:tcPr>
            <w:tcW w:w="2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4.1 Kontaktní poštovní adresa</w:t>
            </w:r>
          </w:p>
        </w:tc>
        <w:tc>
          <w:tcPr>
            <w:tcW w:w="62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cs="Arial" w:ascii="Arial" w:hAnsi="Arial"/>
                <w:sz w:val="20"/>
                <w:szCs w:val="20"/>
              </w:rPr>
              <w:t>KNIHOVNA, příspěvková organizace</w:t>
            </w:r>
          </w:p>
          <w:p>
            <w:pPr>
              <w:pStyle w:val="Normal"/>
              <w:widowControl w:val="false"/>
              <w:spacing w:lineRule="auto" w:line="240" w:before="0" w:after="0"/>
              <w:rPr>
                <w:rFonts w:ascii="Arial" w:hAnsi="Arial" w:cs="Arial"/>
                <w:sz w:val="20"/>
                <w:szCs w:val="20"/>
              </w:rPr>
            </w:pPr>
            <w:r>
              <w:rPr>
                <w:rFonts w:cs="Arial" w:ascii="Arial" w:hAnsi="Arial"/>
                <w:sz w:val="20"/>
                <w:szCs w:val="20"/>
              </w:rPr>
              <w:t>Veselá 1</w:t>
            </w:r>
          </w:p>
          <w:p>
            <w:pPr>
              <w:pStyle w:val="Normal"/>
              <w:widowControl w:val="false"/>
              <w:spacing w:lineRule="auto" w:line="240" w:before="0" w:after="0"/>
              <w:rPr>
                <w:rFonts w:ascii="Arial" w:hAnsi="Arial" w:cs="Arial"/>
                <w:sz w:val="20"/>
                <w:szCs w:val="20"/>
              </w:rPr>
            </w:pPr>
            <w:r>
              <w:rPr>
                <w:rFonts w:cs="Arial" w:ascii="Arial" w:hAnsi="Arial"/>
                <w:sz w:val="20"/>
                <w:szCs w:val="20"/>
              </w:rPr>
              <w:t>111 11 Xxxxx</w:t>
            </w:r>
          </w:p>
          <w:p>
            <w:pPr>
              <w:pStyle w:val="Normal"/>
              <w:widowControl w:val="false"/>
              <w:spacing w:lineRule="auto" w:line="240" w:before="0" w:after="0"/>
              <w:rPr>
                <w:rFonts w:ascii="Arial" w:hAnsi="Arial" w:cs="Arial"/>
                <w:sz w:val="20"/>
                <w:szCs w:val="20"/>
              </w:rPr>
            </w:pPr>
            <w:r>
              <w:rPr>
                <w:rFonts w:cs="Arial" w:ascii="Arial" w:hAnsi="Arial"/>
                <w:sz w:val="20"/>
                <w:szCs w:val="20"/>
              </w:rPr>
            </w:r>
          </w:p>
        </w:tc>
      </w:tr>
      <w:tr>
        <w:trPr/>
        <w:tc>
          <w:tcPr>
            <w:tcW w:w="2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cs="Arial" w:ascii="Arial" w:hAnsi="Arial"/>
                <w:sz w:val="20"/>
                <w:szCs w:val="20"/>
              </w:rPr>
              <w:t xml:space="preserve">4.2 Adresa úřadovny (pracoviště) pro osobní návštěvu </w:t>
            </w:r>
          </w:p>
        </w:tc>
        <w:tc>
          <w:tcPr>
            <w:tcW w:w="62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 xml:space="preserve">Viz bod 1 ve spojení s bodem 4.1  </w:t>
            </w:r>
          </w:p>
          <w:p>
            <w:pPr>
              <w:pStyle w:val="Normal"/>
              <w:widowControl w:val="false"/>
              <w:spacing w:lineRule="auto" w:line="240" w:before="0" w:after="0"/>
              <w:rPr>
                <w:rFonts w:ascii="Arial" w:hAnsi="Arial" w:cs="Arial"/>
                <w:sz w:val="20"/>
                <w:szCs w:val="20"/>
              </w:rPr>
            </w:pPr>
            <w:r>
              <w:rPr>
                <w:rFonts w:cs="Arial" w:ascii="Arial" w:hAnsi="Arial"/>
                <w:sz w:val="20"/>
                <w:szCs w:val="20"/>
              </w:rPr>
            </w:r>
          </w:p>
        </w:tc>
      </w:tr>
      <w:tr>
        <w:trPr/>
        <w:tc>
          <w:tcPr>
            <w:tcW w:w="2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4.3 Úřední hodiny</w:t>
            </w:r>
          </w:p>
        </w:tc>
        <w:tc>
          <w:tcPr>
            <w:tcW w:w="62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Pondělí - pátek, od 9.00 hodin do 19.00 hodin</w:t>
            </w:r>
          </w:p>
        </w:tc>
      </w:tr>
      <w:tr>
        <w:trPr/>
        <w:tc>
          <w:tcPr>
            <w:tcW w:w="2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4.4 Telefonní čísla</w:t>
            </w:r>
          </w:p>
        </w:tc>
        <w:tc>
          <w:tcPr>
            <w:tcW w:w="62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highlight w:val="yellow"/>
              </w:rPr>
              <w:t>/Doplňte telefonní čísla povinného subjektu, případně jeho vnitřních útvarů a pracovišť, bez mezinárodní předvolby/</w:t>
            </w:r>
            <w:r>
              <w:rPr>
                <w:rFonts w:cs="Arial" w:ascii="Arial" w:hAnsi="Arial"/>
                <w:sz w:val="20"/>
                <w:szCs w:val="20"/>
              </w:rPr>
              <w:t xml:space="preserve"> </w:t>
            </w:r>
          </w:p>
        </w:tc>
      </w:tr>
      <w:tr>
        <w:trPr/>
        <w:tc>
          <w:tcPr>
            <w:tcW w:w="2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4.5 Čísla faxu</w:t>
            </w:r>
          </w:p>
        </w:tc>
        <w:tc>
          <w:tcPr>
            <w:tcW w:w="62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 xml:space="preserve">Nemáme k dispozici </w:t>
            </w:r>
          </w:p>
        </w:tc>
      </w:tr>
      <w:tr>
        <w:trPr/>
        <w:tc>
          <w:tcPr>
            <w:tcW w:w="2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4.6 Adresa internetové stránky</w:t>
            </w:r>
          </w:p>
        </w:tc>
        <w:tc>
          <w:tcPr>
            <w:tcW w:w="62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hyperlink r:id="rId2">
              <w:r>
                <w:rPr>
                  <w:rStyle w:val="InternetLink"/>
                  <w:rFonts w:cs="Arial" w:ascii="Arial" w:hAnsi="Arial"/>
                  <w:sz w:val="20"/>
                  <w:szCs w:val="20"/>
                </w:rPr>
                <w:t>https://www.knihovna.cz</w:t>
              </w:r>
            </w:hyperlink>
            <w:r>
              <w:rPr>
                <w:rFonts w:cs="Arial" w:ascii="Arial" w:hAnsi="Arial"/>
                <w:sz w:val="20"/>
                <w:szCs w:val="20"/>
              </w:rPr>
              <w:t xml:space="preserve"> </w:t>
            </w:r>
          </w:p>
        </w:tc>
      </w:tr>
      <w:tr>
        <w:trPr/>
        <w:tc>
          <w:tcPr>
            <w:tcW w:w="2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4.7 Adresa e-podatelny</w:t>
            </w:r>
          </w:p>
        </w:tc>
        <w:tc>
          <w:tcPr>
            <w:tcW w:w="62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hyperlink r:id="rId3">
              <w:r>
                <w:rPr>
                  <w:rStyle w:val="InternetLink"/>
                  <w:rFonts w:cs="Arial" w:ascii="Arial" w:hAnsi="Arial"/>
                  <w:sz w:val="20"/>
                  <w:szCs w:val="20"/>
                </w:rPr>
                <w:t>podatelna@knihovna.cz</w:t>
              </w:r>
            </w:hyperlink>
          </w:p>
        </w:tc>
      </w:tr>
      <w:tr>
        <w:trPr/>
        <w:tc>
          <w:tcPr>
            <w:tcW w:w="2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4.8 Další elektronické adresy</w:t>
            </w:r>
          </w:p>
        </w:tc>
        <w:tc>
          <w:tcPr>
            <w:tcW w:w="62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highlight w:val="yellow"/>
              </w:rPr>
            </w:pPr>
            <w:r>
              <w:rPr>
                <w:rFonts w:cs="Arial" w:ascii="Arial" w:hAnsi="Arial"/>
                <w:sz w:val="20"/>
                <w:szCs w:val="20"/>
                <w:highlight w:val="yellow"/>
              </w:rPr>
              <w:t xml:space="preserve">/Doplňte další elektronické adresy povinného subjektu, případně dalších pracovníků povinného subjektu/ </w:t>
            </w:r>
          </w:p>
          <w:p>
            <w:pPr>
              <w:pStyle w:val="Normal"/>
              <w:widowControl w:val="false"/>
              <w:spacing w:lineRule="auto" w:line="240" w:before="0" w:after="0"/>
              <w:rPr>
                <w:rFonts w:ascii="Arial" w:hAnsi="Arial" w:cs="Arial"/>
                <w:sz w:val="20"/>
                <w:szCs w:val="20"/>
              </w:rPr>
            </w:pPr>
            <w:r>
              <w:rPr>
                <w:rFonts w:cs="Arial" w:ascii="Arial" w:hAnsi="Arial"/>
                <w:sz w:val="20"/>
                <w:szCs w:val="20"/>
              </w:rPr>
              <w:t xml:space="preserve">ID datové schránky: ab1cd2 </w:t>
            </w:r>
          </w:p>
        </w:tc>
      </w:tr>
      <w:tr>
        <w:trPr/>
        <w:tc>
          <w:tcPr>
            <w:tcW w:w="2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5. Případné platby lze poukázat</w:t>
            </w:r>
          </w:p>
        </w:tc>
        <w:tc>
          <w:tcPr>
            <w:tcW w:w="62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cs="Arial" w:ascii="Arial" w:hAnsi="Arial"/>
                <w:sz w:val="20"/>
                <w:szCs w:val="20"/>
              </w:rPr>
              <w:t>Číslo účtu: 123456789/0000</w:t>
            </w:r>
          </w:p>
          <w:p>
            <w:pPr>
              <w:pStyle w:val="Normal"/>
              <w:widowControl w:val="false"/>
              <w:spacing w:lineRule="auto" w:line="240" w:before="0" w:after="0"/>
              <w:rPr>
                <w:rFonts w:ascii="Arial" w:hAnsi="Arial" w:cs="Arial"/>
                <w:sz w:val="20"/>
                <w:szCs w:val="20"/>
              </w:rPr>
            </w:pPr>
            <w:r>
              <w:rPr>
                <w:rFonts w:cs="Arial" w:ascii="Arial" w:hAnsi="Arial"/>
                <w:sz w:val="20"/>
                <w:szCs w:val="20"/>
              </w:rPr>
              <w:t>Platby v hotovosti lze uhradit na pokladně příspěvkové organizace v úředních hodinách.</w:t>
            </w:r>
          </w:p>
        </w:tc>
      </w:tr>
      <w:tr>
        <w:trPr/>
        <w:tc>
          <w:tcPr>
            <w:tcW w:w="2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6. IČ</w:t>
            </w:r>
          </w:p>
        </w:tc>
        <w:tc>
          <w:tcPr>
            <w:tcW w:w="62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12345678</w:t>
            </w:r>
          </w:p>
        </w:tc>
      </w:tr>
      <w:tr>
        <w:trPr/>
        <w:tc>
          <w:tcPr>
            <w:tcW w:w="2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7. DIČ</w:t>
            </w:r>
          </w:p>
        </w:tc>
        <w:tc>
          <w:tcPr>
            <w:tcW w:w="62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CZ12345678</w:t>
            </w:r>
          </w:p>
        </w:tc>
      </w:tr>
      <w:tr>
        <w:trPr/>
        <w:tc>
          <w:tcPr>
            <w:tcW w:w="2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8. Dokumenty</w:t>
            </w:r>
          </w:p>
        </w:tc>
        <w:tc>
          <w:tcPr>
            <w:tcW w:w="6245"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lineRule="auto" w:line="240" w:before="0" w:after="0"/>
              <w:rPr>
                <w:rFonts w:ascii="Arial" w:hAnsi="Arial" w:cs="Arial"/>
                <w:sz w:val="20"/>
                <w:szCs w:val="20"/>
              </w:rPr>
            </w:pPr>
            <w:r>
              <w:rPr>
                <w:rFonts w:cs="Arial" w:ascii="Arial" w:hAnsi="Arial"/>
                <w:sz w:val="20"/>
                <w:szCs w:val="20"/>
              </w:rPr>
            </w:r>
          </w:p>
        </w:tc>
      </w:tr>
      <w:tr>
        <w:trPr/>
        <w:tc>
          <w:tcPr>
            <w:tcW w:w="2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8.1 Seznamy hlavních dokumentů</w:t>
            </w:r>
          </w:p>
        </w:tc>
        <w:tc>
          <w:tcPr>
            <w:tcW w:w="62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Zřizovací listina</w:t>
            </w:r>
          </w:p>
          <w:p>
            <w:pPr>
              <w:pStyle w:val="Normal"/>
              <w:widowControl w:val="false"/>
              <w:spacing w:lineRule="auto" w:line="240" w:before="0" w:after="0"/>
              <w:rPr>
                <w:rFonts w:ascii="Arial" w:hAnsi="Arial" w:cs="Arial"/>
                <w:sz w:val="20"/>
                <w:szCs w:val="20"/>
              </w:rPr>
            </w:pPr>
            <w:r>
              <w:rPr>
                <w:rFonts w:cs="Arial" w:ascii="Arial" w:hAnsi="Arial"/>
                <w:sz w:val="20"/>
                <w:szCs w:val="20"/>
              </w:rPr>
              <w:t>Organizační řád</w:t>
            </w:r>
          </w:p>
          <w:p>
            <w:pPr>
              <w:pStyle w:val="Normal"/>
              <w:widowControl w:val="false"/>
              <w:spacing w:lineRule="auto" w:line="240" w:before="0" w:after="0"/>
              <w:rPr>
                <w:rFonts w:ascii="Arial" w:hAnsi="Arial" w:cs="Arial"/>
                <w:sz w:val="20"/>
                <w:szCs w:val="20"/>
              </w:rPr>
            </w:pPr>
            <w:r>
              <w:rPr>
                <w:rFonts w:cs="Arial" w:ascii="Arial" w:hAnsi="Arial"/>
                <w:sz w:val="20"/>
                <w:szCs w:val="20"/>
              </w:rPr>
              <w:t>Knihovní řád</w:t>
            </w:r>
          </w:p>
          <w:p>
            <w:pPr>
              <w:pStyle w:val="Normal"/>
              <w:widowControl w:val="false"/>
              <w:spacing w:lineRule="auto" w:line="240" w:before="0" w:after="0"/>
              <w:rPr>
                <w:rFonts w:ascii="Arial" w:hAnsi="Arial" w:cs="Arial"/>
                <w:sz w:val="20"/>
                <w:szCs w:val="20"/>
              </w:rPr>
            </w:pPr>
            <w:r>
              <w:rPr>
                <w:rFonts w:cs="Arial" w:ascii="Arial" w:hAnsi="Arial"/>
                <w:sz w:val="20"/>
                <w:szCs w:val="20"/>
              </w:rPr>
              <w:t>Koncepce rozvoje knihoven ČR na období 2021 – 2027, s výhledem do r. 2030</w:t>
            </w:r>
          </w:p>
          <w:p>
            <w:pPr>
              <w:pStyle w:val="Normal"/>
              <w:widowControl w:val="false"/>
              <w:spacing w:lineRule="auto" w:line="240" w:before="0" w:after="0"/>
              <w:rPr>
                <w:rFonts w:ascii="Arial" w:hAnsi="Arial" w:cs="Arial"/>
                <w:sz w:val="20"/>
                <w:szCs w:val="20"/>
              </w:rPr>
            </w:pPr>
            <w:r>
              <w:rPr>
                <w:rFonts w:cs="Arial" w:ascii="Arial" w:hAnsi="Arial"/>
                <w:sz w:val="20"/>
                <w:szCs w:val="20"/>
              </w:rPr>
              <w:t>Ceník služeb</w:t>
            </w:r>
          </w:p>
          <w:p>
            <w:pPr>
              <w:pStyle w:val="Normal"/>
              <w:widowControl w:val="false"/>
              <w:spacing w:lineRule="auto" w:line="240" w:before="0" w:after="0"/>
              <w:rPr>
                <w:rFonts w:ascii="Arial" w:hAnsi="Arial" w:cs="Arial"/>
                <w:sz w:val="20"/>
                <w:szCs w:val="20"/>
              </w:rPr>
            </w:pPr>
            <w:r>
              <w:rPr>
                <w:rFonts w:cs="Arial" w:ascii="Arial" w:hAnsi="Arial"/>
                <w:sz w:val="20"/>
                <w:szCs w:val="20"/>
              </w:rPr>
              <w:t>Výroční zprávy</w:t>
            </w:r>
          </w:p>
          <w:p>
            <w:pPr>
              <w:pStyle w:val="Textkomente"/>
              <w:widowControl w:val="false"/>
              <w:rPr>
                <w:rFonts w:ascii="Arial" w:hAnsi="Arial" w:cs="Arial"/>
              </w:rPr>
            </w:pPr>
            <w:r>
              <w:rPr>
                <w:rFonts w:cs="Arial" w:ascii="Arial" w:hAnsi="Arial"/>
                <w:highlight w:val="yellow"/>
              </w:rPr>
              <w:t>/K dokumentům, pokud možno, doplňte hypertextové odkazy na internetové stránky, kde jsou dostupné/</w:t>
            </w:r>
          </w:p>
          <w:p>
            <w:pPr>
              <w:pStyle w:val="Normal"/>
              <w:widowControl w:val="false"/>
              <w:spacing w:lineRule="auto" w:line="240" w:before="0" w:after="0"/>
              <w:rPr>
                <w:rFonts w:ascii="Arial" w:hAnsi="Arial" w:eastAsia="Arial" w:cs="Arial"/>
                <w:sz w:val="20"/>
                <w:szCs w:val="20"/>
              </w:rPr>
            </w:pPr>
            <w:r>
              <w:rPr>
                <w:rFonts w:eastAsia="Arial" w:cs="Arial" w:ascii="Arial" w:hAnsi="Arial"/>
                <w:sz w:val="20"/>
                <w:szCs w:val="20"/>
              </w:rPr>
              <w:t xml:space="preserve"> </w:t>
            </w:r>
          </w:p>
        </w:tc>
      </w:tr>
      <w:tr>
        <w:trPr/>
        <w:tc>
          <w:tcPr>
            <w:tcW w:w="2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 xml:space="preserve">8.2 Rozpočet </w:t>
            </w:r>
          </w:p>
        </w:tc>
        <w:tc>
          <w:tcPr>
            <w:tcW w:w="62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 xml:space="preserve">Rozpočet příspěvkové organizace na rok 2021 a 2022 </w:t>
            </w:r>
          </w:p>
          <w:p>
            <w:pPr>
              <w:pStyle w:val="Normal"/>
              <w:widowControl w:val="false"/>
              <w:spacing w:lineRule="auto" w:line="240" w:before="0" w:after="0"/>
              <w:rPr>
                <w:rFonts w:ascii="Arial" w:hAnsi="Arial" w:cs="Arial"/>
                <w:sz w:val="20"/>
                <w:szCs w:val="20"/>
              </w:rPr>
            </w:pPr>
            <w:r>
              <w:rPr>
                <w:rFonts w:cs="Arial" w:ascii="Arial" w:hAnsi="Arial"/>
                <w:sz w:val="20"/>
                <w:szCs w:val="20"/>
                <w:highlight w:val="yellow"/>
              </w:rPr>
              <w:t>/K dokumentům doplňte hypertextové odkazy na internetové stránky nebo na veřejný informační systém, kde jsou dostupné/</w:t>
            </w:r>
          </w:p>
        </w:tc>
      </w:tr>
      <w:tr>
        <w:trPr/>
        <w:tc>
          <w:tcPr>
            <w:tcW w:w="2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 xml:space="preserve">9. Žádosti o informace </w:t>
            </w:r>
          </w:p>
        </w:tc>
        <w:tc>
          <w:tcPr>
            <w:tcW w:w="62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Písemné žádosti o informace lze adresovat na adresu příspěvkové organizace (viz bod 4.1), za písemnou žádost o informaci se považuje také žádost podaná elektronicky, bez nutnosti uznávaného elektronického podpisu, doručená na elektronickou podatelnu příspěvkové organizace (viz bod 4.7), nebo do datové schránky příspěvkové organizace (viz bod 4.8).</w:t>
            </w:r>
          </w:p>
        </w:tc>
      </w:tr>
      <w:tr>
        <w:trPr/>
        <w:tc>
          <w:tcPr>
            <w:tcW w:w="2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10. Příjem žádostí a dalších podání</w:t>
            </w:r>
          </w:p>
        </w:tc>
        <w:tc>
          <w:tcPr>
            <w:tcW w:w="62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Ústní žádosti a stížnosti lze podávat v knihovny (viz bod. 4.2) v úředních hodinách. Písemné podněty je třeba adresovat na adresu příspěvkové organizace (viz bod. 4.2). Elektronické podněty je třeba adresovat na elektronickou podatelnu příspěvkové organizace (viz bod 4.7), nebo do datové schránky příspěvkové organizace (viz bod 4.8)</w:t>
            </w:r>
          </w:p>
        </w:tc>
      </w:tr>
      <w:tr>
        <w:trPr/>
        <w:tc>
          <w:tcPr>
            <w:tcW w:w="2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11. Opravné prostředky</w:t>
            </w:r>
          </w:p>
        </w:tc>
        <w:tc>
          <w:tcPr>
            <w:tcW w:w="62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Proti rozhodnutí příspěvkové organizace, jako povinného subjektu dle zákona č. 106/1999 Sb., o svobodném přístupu k informacím, ve znění pozdějších předpisů (dále též „InfZ“), kterým příspěvková organizace odmítla poskytnout informaci na základě žádosti, lze podat odvolání dle § 16 InfZ.</w:t>
            </w:r>
          </w:p>
          <w:p>
            <w:pPr>
              <w:pStyle w:val="Normal"/>
              <w:widowControl w:val="false"/>
              <w:spacing w:lineRule="auto" w:line="240" w:before="0" w:after="0"/>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t>§ 16</w:t>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t>Odvolání</w:t>
            </w:r>
          </w:p>
          <w:p>
            <w:pPr>
              <w:pStyle w:val="Normal"/>
              <w:widowControl w:val="false"/>
              <w:spacing w:lineRule="auto" w:line="240" w:before="0" w:after="0"/>
              <w:rPr>
                <w:rFonts w:ascii="Arial" w:hAnsi="Arial" w:cs="Arial"/>
                <w:sz w:val="20"/>
                <w:szCs w:val="20"/>
              </w:rPr>
            </w:pPr>
            <w:r>
              <w:rPr>
                <w:rFonts w:cs="Arial" w:ascii="Arial" w:hAnsi="Arial"/>
                <w:sz w:val="20"/>
                <w:szCs w:val="20"/>
              </w:rPr>
            </w:r>
          </w:p>
          <w:p>
            <w:pPr>
              <w:pStyle w:val="Normal"/>
              <w:widowControl w:val="false"/>
              <w:spacing w:lineRule="auto" w:line="240" w:before="0" w:after="0"/>
              <w:rPr>
                <w:rFonts w:ascii="Arial" w:hAnsi="Arial" w:cs="Arial"/>
                <w:sz w:val="20"/>
                <w:szCs w:val="20"/>
              </w:rPr>
            </w:pPr>
            <w:r>
              <w:rPr>
                <w:rFonts w:cs="Arial" w:ascii="Arial" w:hAnsi="Arial"/>
                <w:sz w:val="20"/>
                <w:szCs w:val="20"/>
              </w:rPr>
              <w:t xml:space="preserve">(1) Proti rozhodnutí povinného subjektu o odmítnutí žádosti lze podat odvolání. </w:t>
            </w:r>
          </w:p>
          <w:p>
            <w:pPr>
              <w:pStyle w:val="Normal"/>
              <w:widowControl w:val="false"/>
              <w:spacing w:lineRule="auto" w:line="240" w:before="0" w:after="0"/>
              <w:rPr>
                <w:rFonts w:ascii="Arial" w:hAnsi="Arial" w:cs="Arial"/>
                <w:sz w:val="20"/>
                <w:szCs w:val="20"/>
              </w:rPr>
            </w:pPr>
            <w:r>
              <w:rPr>
                <w:rFonts w:cs="Arial" w:ascii="Arial" w:hAnsi="Arial"/>
                <w:sz w:val="20"/>
                <w:szCs w:val="20"/>
              </w:rPr>
            </w:r>
          </w:p>
          <w:p>
            <w:pPr>
              <w:pStyle w:val="Normal"/>
              <w:widowControl w:val="false"/>
              <w:spacing w:lineRule="auto" w:line="240" w:before="0" w:after="0"/>
              <w:rPr>
                <w:rFonts w:ascii="Arial" w:hAnsi="Arial" w:cs="Arial"/>
                <w:sz w:val="20"/>
                <w:szCs w:val="20"/>
              </w:rPr>
            </w:pPr>
            <w:r>
              <w:rPr>
                <w:rFonts w:cs="Arial" w:ascii="Arial" w:hAnsi="Arial"/>
                <w:sz w:val="20"/>
                <w:szCs w:val="20"/>
              </w:rPr>
              <w:t xml:space="preserve">(2) Povinný subjekt předloží odvolání spolu se spisovým materiálem nadřízenému orgánu ve lhůtě 15 dnů ode dne doručení odvolání. </w:t>
            </w:r>
          </w:p>
          <w:p>
            <w:pPr>
              <w:pStyle w:val="Normal"/>
              <w:widowControl w:val="false"/>
              <w:spacing w:lineRule="auto" w:line="240" w:before="0" w:after="0"/>
              <w:rPr>
                <w:rFonts w:ascii="Arial" w:hAnsi="Arial" w:eastAsia="Arial" w:cs="Arial"/>
                <w:sz w:val="20"/>
                <w:szCs w:val="20"/>
              </w:rPr>
            </w:pPr>
            <w:r>
              <w:rPr>
                <w:rFonts w:eastAsia="Arial" w:cs="Arial" w:ascii="Arial" w:hAnsi="Arial"/>
                <w:sz w:val="20"/>
                <w:szCs w:val="20"/>
              </w:rPr>
              <w:t xml:space="preserve"> </w:t>
            </w:r>
          </w:p>
          <w:p>
            <w:pPr>
              <w:pStyle w:val="Normal"/>
              <w:widowControl w:val="false"/>
              <w:spacing w:lineRule="auto" w:line="240" w:before="0" w:after="0"/>
              <w:rPr>
                <w:rFonts w:ascii="Arial" w:hAnsi="Arial" w:cs="Arial"/>
                <w:sz w:val="20"/>
                <w:szCs w:val="20"/>
              </w:rPr>
            </w:pPr>
            <w:r>
              <w:rPr>
                <w:rFonts w:cs="Arial" w:ascii="Arial" w:hAnsi="Arial"/>
                <w:sz w:val="20"/>
                <w:szCs w:val="20"/>
              </w:rPr>
              <w:t xml:space="preserve">(3) Nadřízený orgán rozhodne o odvolání do 15 dnů ode dne předložení odvolání povinným subjektem. Lhůta pro rozhodnutí o rozkladu je 15 pracovních dnů ode dne doručení rozkladu povinnému subjektu. Lhůtu nelze prodloužit. </w:t>
            </w:r>
          </w:p>
          <w:p>
            <w:pPr>
              <w:pStyle w:val="Normal"/>
              <w:widowControl w:val="false"/>
              <w:spacing w:lineRule="auto" w:line="240" w:before="0" w:after="0"/>
              <w:rPr>
                <w:rFonts w:ascii="Arial" w:hAnsi="Arial" w:eastAsia="Arial" w:cs="Arial"/>
                <w:sz w:val="20"/>
                <w:szCs w:val="20"/>
              </w:rPr>
            </w:pPr>
            <w:r>
              <w:rPr>
                <w:rFonts w:eastAsia="Arial" w:cs="Arial" w:ascii="Arial" w:hAnsi="Arial"/>
                <w:sz w:val="20"/>
                <w:szCs w:val="20"/>
              </w:rPr>
              <w:t xml:space="preserve"> </w:t>
            </w:r>
          </w:p>
          <w:p>
            <w:pPr>
              <w:pStyle w:val="Normal"/>
              <w:widowControl w:val="false"/>
              <w:spacing w:lineRule="auto" w:line="240" w:before="0" w:after="0"/>
              <w:rPr>
                <w:rFonts w:ascii="Arial" w:hAnsi="Arial" w:cs="Arial"/>
                <w:sz w:val="20"/>
                <w:szCs w:val="20"/>
              </w:rPr>
            </w:pPr>
            <w:r>
              <w:rPr>
                <w:rFonts w:cs="Arial" w:ascii="Arial" w:hAnsi="Arial"/>
                <w:sz w:val="20"/>
                <w:szCs w:val="20"/>
              </w:rPr>
              <w:t xml:space="preserve">(4) Při soudním přezkumu rozhodnutí o odvolání na základě žaloby podle zvláštního právního předpisu soud přezkoumá, zda jsou dány důvody pro odmítnutí žádosti. Nejsou-li žádné důvody pro odmítnutí žádosti, soud zruší rozhodnutí o odvolání a rozhodnutí povinného subjektu o odmítnutí žádosti a povinnému subjektu nařídí požadované informace poskytnout. </w:t>
            </w:r>
          </w:p>
          <w:p>
            <w:pPr>
              <w:pStyle w:val="Normal"/>
              <w:widowControl w:val="false"/>
              <w:spacing w:lineRule="auto" w:line="240" w:before="0" w:after="0"/>
              <w:rPr>
                <w:rFonts w:ascii="Arial" w:hAnsi="Arial" w:eastAsia="Arial" w:cs="Arial"/>
                <w:sz w:val="20"/>
                <w:szCs w:val="20"/>
              </w:rPr>
            </w:pPr>
            <w:r>
              <w:rPr>
                <w:rFonts w:eastAsia="Arial" w:cs="Arial" w:ascii="Arial" w:hAnsi="Arial"/>
                <w:sz w:val="20"/>
                <w:szCs w:val="20"/>
              </w:rPr>
              <w:t xml:space="preserve"> </w:t>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t>§ 16a</w:t>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t>Stížnost na postup při vyřizování žádosti o informace</w:t>
            </w:r>
          </w:p>
          <w:p>
            <w:pPr>
              <w:pStyle w:val="Normal"/>
              <w:widowControl w:val="false"/>
              <w:spacing w:lineRule="auto" w:line="240" w:before="0" w:after="0"/>
              <w:rPr>
                <w:rFonts w:ascii="Arial" w:hAnsi="Arial" w:cs="Arial"/>
                <w:sz w:val="20"/>
                <w:szCs w:val="20"/>
              </w:rPr>
            </w:pPr>
            <w:r>
              <w:rPr>
                <w:rFonts w:cs="Arial" w:ascii="Arial" w:hAnsi="Arial"/>
                <w:sz w:val="20"/>
                <w:szCs w:val="20"/>
              </w:rPr>
            </w:r>
          </w:p>
          <w:p>
            <w:pPr>
              <w:pStyle w:val="Normal"/>
              <w:widowControl w:val="false"/>
              <w:spacing w:lineRule="auto" w:line="240" w:before="0" w:after="0"/>
              <w:rPr>
                <w:rFonts w:ascii="Arial" w:hAnsi="Arial" w:cs="Arial"/>
                <w:sz w:val="20"/>
                <w:szCs w:val="20"/>
              </w:rPr>
            </w:pPr>
            <w:r>
              <w:rPr>
                <w:rFonts w:cs="Arial" w:ascii="Arial" w:hAnsi="Arial"/>
                <w:sz w:val="20"/>
                <w:szCs w:val="20"/>
              </w:rPr>
              <w:t xml:space="preserve">(1) Stížnost na postup při vyřizování žádosti o informace (dále jen "stížnost") může podat žadatel, </w:t>
            </w:r>
          </w:p>
          <w:p>
            <w:pPr>
              <w:pStyle w:val="Normal"/>
              <w:widowControl w:val="false"/>
              <w:spacing w:lineRule="auto" w:line="240" w:before="0" w:after="0"/>
              <w:rPr>
                <w:rFonts w:ascii="Arial" w:hAnsi="Arial" w:eastAsia="Arial" w:cs="Arial"/>
                <w:sz w:val="20"/>
                <w:szCs w:val="20"/>
              </w:rPr>
            </w:pPr>
            <w:r>
              <w:rPr>
                <w:rFonts w:eastAsia="Arial" w:cs="Arial" w:ascii="Arial" w:hAnsi="Arial"/>
                <w:sz w:val="20"/>
                <w:szCs w:val="20"/>
              </w:rPr>
              <w:t xml:space="preserve"> </w:t>
            </w:r>
          </w:p>
          <w:p>
            <w:pPr>
              <w:pStyle w:val="Normal"/>
              <w:widowControl w:val="false"/>
              <w:spacing w:lineRule="auto" w:line="240" w:before="0" w:after="0"/>
              <w:ind w:left="560" w:hanging="0"/>
              <w:rPr>
                <w:rFonts w:ascii="Arial" w:hAnsi="Arial" w:cs="Arial"/>
                <w:sz w:val="20"/>
                <w:szCs w:val="20"/>
              </w:rPr>
            </w:pPr>
            <w:r>
              <w:rPr>
                <w:rFonts w:cs="Arial" w:ascii="Arial" w:hAnsi="Arial"/>
                <w:sz w:val="20"/>
                <w:szCs w:val="20"/>
              </w:rPr>
              <w:t xml:space="preserve">a) který nesouhlasí s vyřízením žádosti způsobem uvedeným v § 6, </w:t>
            </w:r>
          </w:p>
          <w:p>
            <w:pPr>
              <w:pStyle w:val="Normal"/>
              <w:widowControl w:val="false"/>
              <w:spacing w:lineRule="auto" w:line="240" w:before="0" w:after="0"/>
              <w:ind w:left="560" w:hanging="0"/>
              <w:rPr>
                <w:rFonts w:ascii="Arial" w:hAnsi="Arial" w:eastAsia="Arial" w:cs="Arial"/>
                <w:sz w:val="20"/>
                <w:szCs w:val="20"/>
              </w:rPr>
            </w:pPr>
            <w:r>
              <w:rPr>
                <w:rFonts w:eastAsia="Arial" w:cs="Arial" w:ascii="Arial" w:hAnsi="Arial"/>
                <w:sz w:val="20"/>
                <w:szCs w:val="20"/>
              </w:rPr>
              <w:t xml:space="preserve"> </w:t>
            </w:r>
          </w:p>
          <w:p>
            <w:pPr>
              <w:pStyle w:val="Normal"/>
              <w:widowControl w:val="false"/>
              <w:spacing w:lineRule="auto" w:line="240" w:before="0" w:after="0"/>
              <w:ind w:left="560" w:hanging="0"/>
              <w:rPr>
                <w:rFonts w:ascii="Arial" w:hAnsi="Arial" w:cs="Arial"/>
                <w:sz w:val="20"/>
                <w:szCs w:val="20"/>
              </w:rPr>
            </w:pPr>
            <w:r>
              <w:rPr>
                <w:rFonts w:cs="Arial" w:ascii="Arial" w:hAnsi="Arial"/>
                <w:sz w:val="20"/>
                <w:szCs w:val="20"/>
              </w:rPr>
              <w:t xml:space="preserve">b) kterému po uplynutí lhůty podle § 14 odst. 5 písm. d) nebo § 14 odst. 7 nebyla poskytnuta informace nebo předložena konečná licenční nabídka a nebylo vydáno rozhodnutí o odmítnutí žádosti, </w:t>
            </w:r>
          </w:p>
          <w:p>
            <w:pPr>
              <w:pStyle w:val="Normal"/>
              <w:widowControl w:val="false"/>
              <w:spacing w:lineRule="auto" w:line="240" w:before="0" w:after="0"/>
              <w:ind w:left="560" w:hanging="0"/>
              <w:rPr>
                <w:rFonts w:ascii="Arial" w:hAnsi="Arial" w:eastAsia="Arial" w:cs="Arial"/>
                <w:sz w:val="20"/>
                <w:szCs w:val="20"/>
              </w:rPr>
            </w:pPr>
            <w:r>
              <w:rPr>
                <w:rFonts w:eastAsia="Arial" w:cs="Arial" w:ascii="Arial" w:hAnsi="Arial"/>
                <w:sz w:val="20"/>
                <w:szCs w:val="20"/>
              </w:rPr>
              <w:t xml:space="preserve"> </w:t>
            </w:r>
          </w:p>
          <w:p>
            <w:pPr>
              <w:pStyle w:val="Normal"/>
              <w:widowControl w:val="false"/>
              <w:spacing w:lineRule="auto" w:line="240" w:before="0" w:after="0"/>
              <w:ind w:left="560" w:hanging="0"/>
              <w:rPr>
                <w:rFonts w:ascii="Arial" w:hAnsi="Arial" w:cs="Arial"/>
                <w:sz w:val="20"/>
                <w:szCs w:val="20"/>
              </w:rPr>
            </w:pPr>
            <w:r>
              <w:rPr>
                <w:rFonts w:cs="Arial" w:ascii="Arial" w:hAnsi="Arial"/>
                <w:sz w:val="20"/>
                <w:szCs w:val="20"/>
              </w:rPr>
              <w:t xml:space="preserve">c) kterému byla informace poskytnuta částečně, aniž bylo o zbytku žádosti vydáno rozhodnutí o odmítnutí, nebo </w:t>
            </w:r>
          </w:p>
          <w:p>
            <w:pPr>
              <w:pStyle w:val="Normal"/>
              <w:widowControl w:val="false"/>
              <w:spacing w:lineRule="auto" w:line="240" w:before="0" w:after="0"/>
              <w:ind w:left="560" w:hanging="0"/>
              <w:rPr>
                <w:rFonts w:ascii="Arial" w:hAnsi="Arial" w:eastAsia="Arial" w:cs="Arial"/>
                <w:sz w:val="20"/>
                <w:szCs w:val="20"/>
              </w:rPr>
            </w:pPr>
            <w:r>
              <w:rPr>
                <w:rFonts w:eastAsia="Arial" w:cs="Arial" w:ascii="Arial" w:hAnsi="Arial"/>
                <w:sz w:val="20"/>
                <w:szCs w:val="20"/>
              </w:rPr>
              <w:t xml:space="preserve"> </w:t>
            </w:r>
          </w:p>
          <w:p>
            <w:pPr>
              <w:pStyle w:val="Normal"/>
              <w:widowControl w:val="false"/>
              <w:spacing w:lineRule="auto" w:line="240" w:before="0" w:after="0"/>
              <w:ind w:left="560" w:hanging="0"/>
              <w:rPr>
                <w:rFonts w:ascii="Arial" w:hAnsi="Arial" w:cs="Arial"/>
                <w:sz w:val="20"/>
                <w:szCs w:val="20"/>
              </w:rPr>
            </w:pPr>
            <w:r>
              <w:rPr>
                <w:rFonts w:cs="Arial" w:ascii="Arial" w:hAnsi="Arial"/>
                <w:sz w:val="20"/>
                <w:szCs w:val="20"/>
              </w:rPr>
              <w:t xml:space="preserve">d) který nesouhlasí s výší úhrady sdělené podle § 17 odst. 3 nebo s výší odměny podle § 14a odst. 2, požadovanými v souvislosti s poskytováním informací. </w:t>
            </w:r>
          </w:p>
          <w:p>
            <w:pPr>
              <w:pStyle w:val="Normal"/>
              <w:widowControl w:val="false"/>
              <w:spacing w:lineRule="auto" w:line="240" w:before="0" w:after="0"/>
              <w:rPr>
                <w:rFonts w:ascii="Arial" w:hAnsi="Arial" w:eastAsia="Arial" w:cs="Arial"/>
                <w:sz w:val="20"/>
                <w:szCs w:val="20"/>
              </w:rPr>
            </w:pPr>
            <w:r>
              <w:rPr>
                <w:rFonts w:eastAsia="Arial" w:cs="Arial" w:ascii="Arial" w:hAnsi="Arial"/>
                <w:sz w:val="20"/>
                <w:szCs w:val="20"/>
              </w:rPr>
              <w:t xml:space="preserve"> </w:t>
            </w:r>
          </w:p>
          <w:p>
            <w:pPr>
              <w:pStyle w:val="Normal"/>
              <w:widowControl w:val="false"/>
              <w:spacing w:lineRule="auto" w:line="240" w:before="0" w:after="0"/>
              <w:rPr>
                <w:rFonts w:ascii="Arial" w:hAnsi="Arial" w:cs="Arial"/>
                <w:sz w:val="20"/>
                <w:szCs w:val="20"/>
              </w:rPr>
            </w:pPr>
            <w:r>
              <w:rPr>
                <w:rFonts w:cs="Arial" w:ascii="Arial" w:hAnsi="Arial"/>
                <w:sz w:val="20"/>
                <w:szCs w:val="20"/>
              </w:rPr>
              <w:t xml:space="preserve">(2) Stížnost lze podat písemně nebo ústně; je-li stížnost podána ústně a nelze-li ji ihned vyřídit, sepíše o ní povinný subjekt písemný záznam. </w:t>
            </w:r>
          </w:p>
          <w:p>
            <w:pPr>
              <w:pStyle w:val="Normal"/>
              <w:widowControl w:val="false"/>
              <w:spacing w:lineRule="auto" w:line="240" w:before="0" w:after="0"/>
              <w:rPr>
                <w:rFonts w:ascii="Arial" w:hAnsi="Arial" w:eastAsia="Arial" w:cs="Arial"/>
                <w:sz w:val="20"/>
                <w:szCs w:val="20"/>
              </w:rPr>
            </w:pPr>
            <w:r>
              <w:rPr>
                <w:rFonts w:eastAsia="Arial" w:cs="Arial" w:ascii="Arial" w:hAnsi="Arial"/>
                <w:sz w:val="20"/>
                <w:szCs w:val="20"/>
              </w:rPr>
              <w:t xml:space="preserve"> </w:t>
            </w:r>
          </w:p>
          <w:p>
            <w:pPr>
              <w:pStyle w:val="Normal"/>
              <w:widowControl w:val="false"/>
              <w:spacing w:lineRule="auto" w:line="240" w:before="0" w:after="0"/>
              <w:rPr>
                <w:rFonts w:ascii="Arial" w:hAnsi="Arial" w:cs="Arial"/>
                <w:sz w:val="20"/>
                <w:szCs w:val="20"/>
              </w:rPr>
            </w:pPr>
            <w:r>
              <w:rPr>
                <w:rFonts w:cs="Arial" w:ascii="Arial" w:hAnsi="Arial"/>
                <w:sz w:val="20"/>
                <w:szCs w:val="20"/>
              </w:rPr>
              <w:t xml:space="preserve">(3) Stížnost se podává u povinného subjektu, a to do 30 dnů ode dne </w:t>
            </w:r>
          </w:p>
          <w:p>
            <w:pPr>
              <w:pStyle w:val="Normal"/>
              <w:widowControl w:val="false"/>
              <w:spacing w:lineRule="auto" w:line="240" w:before="0" w:after="0"/>
              <w:rPr>
                <w:rFonts w:ascii="Arial" w:hAnsi="Arial" w:eastAsia="Arial" w:cs="Arial"/>
                <w:sz w:val="20"/>
                <w:szCs w:val="20"/>
              </w:rPr>
            </w:pPr>
            <w:r>
              <w:rPr>
                <w:rFonts w:eastAsia="Arial" w:cs="Arial" w:ascii="Arial" w:hAnsi="Arial"/>
                <w:sz w:val="20"/>
                <w:szCs w:val="20"/>
              </w:rPr>
              <w:t xml:space="preserve"> </w:t>
            </w:r>
          </w:p>
          <w:p>
            <w:pPr>
              <w:pStyle w:val="Normal"/>
              <w:widowControl w:val="false"/>
              <w:spacing w:lineRule="auto" w:line="240" w:before="0" w:after="0"/>
              <w:ind w:left="560" w:hanging="0"/>
              <w:rPr>
                <w:rFonts w:ascii="Arial" w:hAnsi="Arial" w:cs="Arial"/>
                <w:sz w:val="20"/>
                <w:szCs w:val="20"/>
              </w:rPr>
            </w:pPr>
            <w:r>
              <w:rPr>
                <w:rFonts w:cs="Arial" w:ascii="Arial" w:hAnsi="Arial"/>
                <w:sz w:val="20"/>
                <w:szCs w:val="20"/>
              </w:rPr>
              <w:t xml:space="preserve">a) doručení sdělení podle § 6, § 14 odst. 5 písm. c) nebo § 17 odst. 3, </w:t>
            </w:r>
          </w:p>
          <w:p>
            <w:pPr>
              <w:pStyle w:val="Normal"/>
              <w:widowControl w:val="false"/>
              <w:spacing w:lineRule="auto" w:line="240" w:before="0" w:after="0"/>
              <w:ind w:left="560" w:hanging="0"/>
              <w:rPr>
                <w:rFonts w:ascii="Arial" w:hAnsi="Arial" w:eastAsia="Arial" w:cs="Arial"/>
                <w:sz w:val="20"/>
                <w:szCs w:val="20"/>
              </w:rPr>
            </w:pPr>
            <w:r>
              <w:rPr>
                <w:rFonts w:eastAsia="Arial" w:cs="Arial" w:ascii="Arial" w:hAnsi="Arial"/>
                <w:sz w:val="20"/>
                <w:szCs w:val="20"/>
              </w:rPr>
              <w:t xml:space="preserve"> </w:t>
            </w:r>
          </w:p>
          <w:p>
            <w:pPr>
              <w:pStyle w:val="Normal"/>
              <w:widowControl w:val="false"/>
              <w:spacing w:lineRule="auto" w:line="240" w:before="0" w:after="0"/>
              <w:ind w:left="560" w:hanging="0"/>
              <w:rPr>
                <w:rFonts w:ascii="Arial" w:hAnsi="Arial" w:cs="Arial"/>
                <w:sz w:val="20"/>
                <w:szCs w:val="20"/>
              </w:rPr>
            </w:pPr>
            <w:r>
              <w:rPr>
                <w:rFonts w:cs="Arial" w:ascii="Arial" w:hAnsi="Arial"/>
                <w:sz w:val="20"/>
                <w:szCs w:val="20"/>
              </w:rPr>
              <w:t xml:space="preserve">b) uplynutí lhůty pro poskytnutí informace podle § 14 odst. 5 písm. d) nebo § 14 odst. 7. </w:t>
            </w:r>
          </w:p>
          <w:p>
            <w:pPr>
              <w:pStyle w:val="Normal"/>
              <w:widowControl w:val="false"/>
              <w:spacing w:lineRule="auto" w:line="240" w:before="0" w:after="0"/>
              <w:rPr>
                <w:rFonts w:ascii="Arial" w:hAnsi="Arial" w:eastAsia="Arial" w:cs="Arial"/>
                <w:sz w:val="20"/>
                <w:szCs w:val="20"/>
              </w:rPr>
            </w:pPr>
            <w:r>
              <w:rPr>
                <w:rFonts w:eastAsia="Arial" w:cs="Arial" w:ascii="Arial" w:hAnsi="Arial"/>
                <w:sz w:val="20"/>
                <w:szCs w:val="20"/>
              </w:rPr>
              <w:t xml:space="preserve"> </w:t>
            </w:r>
          </w:p>
          <w:p>
            <w:pPr>
              <w:pStyle w:val="Normal"/>
              <w:widowControl w:val="false"/>
              <w:spacing w:lineRule="auto" w:line="240" w:before="0" w:after="0"/>
              <w:rPr>
                <w:rFonts w:ascii="Arial" w:hAnsi="Arial" w:cs="Arial"/>
                <w:sz w:val="20"/>
                <w:szCs w:val="20"/>
              </w:rPr>
            </w:pPr>
            <w:r>
              <w:rPr>
                <w:rFonts w:cs="Arial" w:ascii="Arial" w:hAnsi="Arial"/>
                <w:sz w:val="20"/>
                <w:szCs w:val="20"/>
              </w:rPr>
              <w:t xml:space="preserve">(4) O stížnosti rozhoduje nadřízený orgán. </w:t>
            </w:r>
          </w:p>
          <w:p>
            <w:pPr>
              <w:pStyle w:val="Normal"/>
              <w:widowControl w:val="false"/>
              <w:spacing w:lineRule="auto" w:line="240" w:before="0" w:after="0"/>
              <w:rPr>
                <w:rFonts w:ascii="Arial" w:hAnsi="Arial" w:eastAsia="Arial" w:cs="Arial"/>
                <w:sz w:val="20"/>
                <w:szCs w:val="20"/>
              </w:rPr>
            </w:pPr>
            <w:r>
              <w:rPr>
                <w:rFonts w:eastAsia="Arial" w:cs="Arial" w:ascii="Arial" w:hAnsi="Arial"/>
                <w:sz w:val="20"/>
                <w:szCs w:val="20"/>
              </w:rPr>
              <w:t xml:space="preserve"> </w:t>
            </w:r>
          </w:p>
          <w:p>
            <w:pPr>
              <w:pStyle w:val="Normal"/>
              <w:widowControl w:val="false"/>
              <w:spacing w:lineRule="auto" w:line="240" w:before="0" w:after="0"/>
              <w:rPr>
                <w:rFonts w:ascii="Arial" w:hAnsi="Arial" w:cs="Arial"/>
                <w:sz w:val="20"/>
                <w:szCs w:val="20"/>
              </w:rPr>
            </w:pPr>
            <w:r>
              <w:rPr>
                <w:rFonts w:cs="Arial" w:ascii="Arial" w:hAnsi="Arial"/>
                <w:sz w:val="20"/>
                <w:szCs w:val="20"/>
              </w:rPr>
              <w:t xml:space="preserve">(5) Povinný subjekt předloží stížnost spolu se spisovým materiálem nadřízenému orgánu do 7 dnů ode dne, kdy mu stížnost došla, pokud v této lhůtě stížnosti sám zcela nevyhoví tím, že poskytne požadovanou informaci nebo konečnou licenční nabídku, nebo vydá rozhodnutí o odmítnutí žádosti. </w:t>
            </w:r>
          </w:p>
          <w:p>
            <w:pPr>
              <w:pStyle w:val="Normal"/>
              <w:widowControl w:val="false"/>
              <w:spacing w:lineRule="auto" w:line="240" w:before="0" w:after="0"/>
              <w:rPr>
                <w:rFonts w:ascii="Arial" w:hAnsi="Arial" w:eastAsia="Arial" w:cs="Arial"/>
                <w:sz w:val="20"/>
                <w:szCs w:val="20"/>
              </w:rPr>
            </w:pPr>
            <w:r>
              <w:rPr>
                <w:rFonts w:eastAsia="Arial" w:cs="Arial" w:ascii="Arial" w:hAnsi="Arial"/>
                <w:sz w:val="20"/>
                <w:szCs w:val="20"/>
              </w:rPr>
              <w:t xml:space="preserve"> </w:t>
            </w:r>
          </w:p>
          <w:p>
            <w:pPr>
              <w:pStyle w:val="Normal"/>
              <w:widowControl w:val="false"/>
              <w:spacing w:lineRule="auto" w:line="240" w:before="0" w:after="0"/>
              <w:rPr>
                <w:rFonts w:ascii="Arial" w:hAnsi="Arial" w:cs="Arial"/>
                <w:sz w:val="20"/>
                <w:szCs w:val="20"/>
              </w:rPr>
            </w:pPr>
            <w:r>
              <w:rPr>
                <w:rFonts w:cs="Arial" w:ascii="Arial" w:hAnsi="Arial"/>
                <w:sz w:val="20"/>
                <w:szCs w:val="20"/>
              </w:rPr>
              <w:t xml:space="preserve">(6) Nadřízený orgán při rozhodování o stížnosti podle odstavce 1 písm. a), b) nebo c) přezkoumá postup povinného subjektu a rozhodne tak, že </w:t>
            </w:r>
          </w:p>
          <w:p>
            <w:pPr>
              <w:pStyle w:val="Normal"/>
              <w:widowControl w:val="false"/>
              <w:spacing w:lineRule="auto" w:line="240" w:before="0" w:after="0"/>
              <w:rPr>
                <w:rFonts w:ascii="Arial" w:hAnsi="Arial" w:eastAsia="Arial" w:cs="Arial"/>
                <w:sz w:val="20"/>
                <w:szCs w:val="20"/>
              </w:rPr>
            </w:pPr>
            <w:r>
              <w:rPr>
                <w:rFonts w:eastAsia="Arial" w:cs="Arial" w:ascii="Arial" w:hAnsi="Arial"/>
                <w:sz w:val="20"/>
                <w:szCs w:val="20"/>
              </w:rPr>
              <w:t xml:space="preserve"> </w:t>
            </w:r>
          </w:p>
          <w:p>
            <w:pPr>
              <w:pStyle w:val="Normal"/>
              <w:widowControl w:val="false"/>
              <w:spacing w:lineRule="auto" w:line="240" w:before="0" w:after="0"/>
              <w:ind w:left="560" w:hanging="0"/>
              <w:rPr>
                <w:rFonts w:ascii="Arial" w:hAnsi="Arial" w:cs="Arial"/>
                <w:sz w:val="20"/>
                <w:szCs w:val="20"/>
              </w:rPr>
            </w:pPr>
            <w:r>
              <w:rPr>
                <w:rFonts w:cs="Arial" w:ascii="Arial" w:hAnsi="Arial"/>
                <w:sz w:val="20"/>
                <w:szCs w:val="20"/>
              </w:rPr>
              <w:t xml:space="preserve">a) postup povinného subjektu potvrdí, </w:t>
            </w:r>
          </w:p>
          <w:p>
            <w:pPr>
              <w:pStyle w:val="Normal"/>
              <w:widowControl w:val="false"/>
              <w:spacing w:lineRule="auto" w:line="240" w:before="0" w:after="0"/>
              <w:ind w:left="560" w:hanging="0"/>
              <w:rPr>
                <w:rFonts w:ascii="Arial" w:hAnsi="Arial" w:eastAsia="Arial" w:cs="Arial"/>
                <w:sz w:val="20"/>
                <w:szCs w:val="20"/>
              </w:rPr>
            </w:pPr>
            <w:r>
              <w:rPr>
                <w:rFonts w:eastAsia="Arial" w:cs="Arial" w:ascii="Arial" w:hAnsi="Arial"/>
                <w:sz w:val="20"/>
                <w:szCs w:val="20"/>
              </w:rPr>
              <w:t xml:space="preserve"> </w:t>
            </w:r>
          </w:p>
          <w:p>
            <w:pPr>
              <w:pStyle w:val="Normal"/>
              <w:widowControl w:val="false"/>
              <w:spacing w:lineRule="auto" w:line="240" w:before="0" w:after="0"/>
              <w:ind w:left="560" w:hanging="0"/>
              <w:rPr>
                <w:rFonts w:ascii="Arial" w:hAnsi="Arial" w:cs="Arial"/>
                <w:sz w:val="20"/>
                <w:szCs w:val="20"/>
              </w:rPr>
            </w:pPr>
            <w:r>
              <w:rPr>
                <w:rFonts w:cs="Arial" w:ascii="Arial" w:hAnsi="Arial"/>
                <w:sz w:val="20"/>
                <w:szCs w:val="20"/>
              </w:rPr>
              <w:t xml:space="preserve">b) povinnému subjektu přikáže, aby ve stanovené lhůtě, která nesmí být delší než 15 dnů ode dne doručení rozhodnutí nadřízeného orgánu, žádost vyřídil, případně předložil žadateli konečnou licenční nabídku, nebo </w:t>
            </w:r>
          </w:p>
          <w:p>
            <w:pPr>
              <w:pStyle w:val="Normal"/>
              <w:widowControl w:val="false"/>
              <w:spacing w:lineRule="auto" w:line="240" w:before="0" w:after="0"/>
              <w:ind w:left="560" w:hanging="0"/>
              <w:rPr>
                <w:rFonts w:ascii="Arial" w:hAnsi="Arial" w:eastAsia="Arial" w:cs="Arial"/>
                <w:sz w:val="20"/>
                <w:szCs w:val="20"/>
              </w:rPr>
            </w:pPr>
            <w:r>
              <w:rPr>
                <w:rFonts w:eastAsia="Arial" w:cs="Arial" w:ascii="Arial" w:hAnsi="Arial"/>
                <w:sz w:val="20"/>
                <w:szCs w:val="20"/>
              </w:rPr>
              <w:t xml:space="preserve"> </w:t>
            </w:r>
          </w:p>
          <w:p>
            <w:pPr>
              <w:pStyle w:val="Normal"/>
              <w:widowControl w:val="false"/>
              <w:spacing w:lineRule="auto" w:line="240" w:before="0" w:after="0"/>
              <w:ind w:left="560" w:hanging="0"/>
              <w:rPr>
                <w:rFonts w:ascii="Arial" w:hAnsi="Arial" w:cs="Arial"/>
                <w:sz w:val="20"/>
                <w:szCs w:val="20"/>
              </w:rPr>
            </w:pPr>
            <w:r>
              <w:rPr>
                <w:rFonts w:cs="Arial" w:ascii="Arial" w:hAnsi="Arial"/>
                <w:sz w:val="20"/>
                <w:szCs w:val="20"/>
              </w:rPr>
              <w:t xml:space="preserve">c) usnesením věc převezme a informaci poskytne sám nebo vydá rozhodnutí o odmítnutí žádosti; tento postup nelze použít vůči orgánům územních samosprávných celků při výkonu samostatné působnosti. </w:t>
            </w:r>
          </w:p>
          <w:p>
            <w:pPr>
              <w:pStyle w:val="Normal"/>
              <w:widowControl w:val="false"/>
              <w:spacing w:lineRule="auto" w:line="240" w:before="0" w:after="0"/>
              <w:rPr>
                <w:rFonts w:ascii="Arial" w:hAnsi="Arial" w:eastAsia="Arial" w:cs="Arial"/>
                <w:sz w:val="20"/>
                <w:szCs w:val="20"/>
              </w:rPr>
            </w:pPr>
            <w:r>
              <w:rPr>
                <w:rFonts w:eastAsia="Arial" w:cs="Arial" w:ascii="Arial" w:hAnsi="Arial"/>
                <w:sz w:val="20"/>
                <w:szCs w:val="20"/>
              </w:rPr>
              <w:t xml:space="preserve"> </w:t>
            </w:r>
          </w:p>
          <w:p>
            <w:pPr>
              <w:pStyle w:val="Normal"/>
              <w:widowControl w:val="false"/>
              <w:spacing w:lineRule="auto" w:line="240" w:before="0" w:after="0"/>
              <w:rPr>
                <w:rFonts w:ascii="Arial" w:hAnsi="Arial" w:cs="Arial"/>
                <w:sz w:val="20"/>
                <w:szCs w:val="20"/>
              </w:rPr>
            </w:pPr>
            <w:r>
              <w:rPr>
                <w:rFonts w:cs="Arial" w:ascii="Arial" w:hAnsi="Arial"/>
                <w:sz w:val="20"/>
                <w:szCs w:val="20"/>
              </w:rPr>
              <w:t xml:space="preserve">(7) Nadřízený orgán při rozhodování o stížnosti podle odstavce 1 písm. d) přezkoumá postup povinného subjektu a rozhodne tak, že </w:t>
            </w:r>
          </w:p>
          <w:p>
            <w:pPr>
              <w:pStyle w:val="Normal"/>
              <w:widowControl w:val="false"/>
              <w:spacing w:lineRule="auto" w:line="240" w:before="0" w:after="0"/>
              <w:rPr>
                <w:rFonts w:ascii="Arial" w:hAnsi="Arial" w:eastAsia="Arial" w:cs="Arial"/>
                <w:sz w:val="20"/>
                <w:szCs w:val="20"/>
              </w:rPr>
            </w:pPr>
            <w:r>
              <w:rPr>
                <w:rFonts w:eastAsia="Arial" w:cs="Arial" w:ascii="Arial" w:hAnsi="Arial"/>
                <w:sz w:val="20"/>
                <w:szCs w:val="20"/>
              </w:rPr>
              <w:t xml:space="preserve"> </w:t>
            </w:r>
          </w:p>
          <w:p>
            <w:pPr>
              <w:pStyle w:val="Normal"/>
              <w:widowControl w:val="false"/>
              <w:spacing w:lineRule="auto" w:line="240" w:before="0" w:after="0"/>
              <w:ind w:left="560" w:hanging="0"/>
              <w:rPr>
                <w:rFonts w:ascii="Arial" w:hAnsi="Arial" w:cs="Arial"/>
                <w:sz w:val="20"/>
                <w:szCs w:val="20"/>
              </w:rPr>
            </w:pPr>
            <w:r>
              <w:rPr>
                <w:rFonts w:cs="Arial" w:ascii="Arial" w:hAnsi="Arial"/>
                <w:sz w:val="20"/>
                <w:szCs w:val="20"/>
              </w:rPr>
              <w:t xml:space="preserve">a) výši úhrady nebo odměny potvrdí, </w:t>
            </w:r>
          </w:p>
          <w:p>
            <w:pPr>
              <w:pStyle w:val="Normal"/>
              <w:widowControl w:val="false"/>
              <w:spacing w:lineRule="auto" w:line="240" w:before="0" w:after="0"/>
              <w:ind w:left="560" w:hanging="0"/>
              <w:rPr>
                <w:rFonts w:ascii="Arial" w:hAnsi="Arial" w:eastAsia="Arial" w:cs="Arial"/>
                <w:sz w:val="20"/>
                <w:szCs w:val="20"/>
              </w:rPr>
            </w:pPr>
            <w:r>
              <w:rPr>
                <w:rFonts w:eastAsia="Arial" w:cs="Arial" w:ascii="Arial" w:hAnsi="Arial"/>
                <w:sz w:val="20"/>
                <w:szCs w:val="20"/>
              </w:rPr>
              <w:t xml:space="preserve"> </w:t>
            </w:r>
          </w:p>
          <w:p>
            <w:pPr>
              <w:pStyle w:val="Normal"/>
              <w:widowControl w:val="false"/>
              <w:spacing w:lineRule="auto" w:line="240" w:before="0" w:after="0"/>
              <w:ind w:left="560" w:hanging="0"/>
              <w:rPr>
                <w:rFonts w:ascii="Arial" w:hAnsi="Arial" w:cs="Arial"/>
                <w:sz w:val="20"/>
                <w:szCs w:val="20"/>
              </w:rPr>
            </w:pPr>
            <w:r>
              <w:rPr>
                <w:rFonts w:cs="Arial" w:ascii="Arial" w:hAnsi="Arial"/>
                <w:sz w:val="20"/>
                <w:szCs w:val="20"/>
              </w:rPr>
              <w:t xml:space="preserve">b) výši úhrady nebo odměny sníží; tento postup nelze použít vůči orgánům územních samosprávných celků při výkonu samostatné působnosti, nebo </w:t>
            </w:r>
          </w:p>
          <w:p>
            <w:pPr>
              <w:pStyle w:val="Normal"/>
              <w:widowControl w:val="false"/>
              <w:spacing w:lineRule="auto" w:line="240" w:before="0" w:after="0"/>
              <w:ind w:left="560" w:hanging="0"/>
              <w:rPr>
                <w:rFonts w:ascii="Arial" w:hAnsi="Arial" w:eastAsia="Arial" w:cs="Arial"/>
                <w:sz w:val="20"/>
                <w:szCs w:val="20"/>
              </w:rPr>
            </w:pPr>
            <w:r>
              <w:rPr>
                <w:rFonts w:eastAsia="Arial" w:cs="Arial" w:ascii="Arial" w:hAnsi="Arial"/>
                <w:sz w:val="20"/>
                <w:szCs w:val="20"/>
              </w:rPr>
              <w:t xml:space="preserve"> </w:t>
            </w:r>
          </w:p>
          <w:p>
            <w:pPr>
              <w:pStyle w:val="Normal"/>
              <w:widowControl w:val="false"/>
              <w:spacing w:lineRule="auto" w:line="240" w:before="0" w:after="0"/>
              <w:ind w:left="560" w:hanging="0"/>
              <w:rPr>
                <w:rFonts w:ascii="Arial" w:hAnsi="Arial" w:cs="Arial"/>
                <w:sz w:val="20"/>
                <w:szCs w:val="20"/>
              </w:rPr>
            </w:pPr>
            <w:r>
              <w:rPr>
                <w:rFonts w:cs="Arial" w:ascii="Arial" w:hAnsi="Arial"/>
                <w:sz w:val="20"/>
                <w:szCs w:val="20"/>
              </w:rPr>
              <w:t xml:space="preserve">c) povinnému subjektu přikáže, aby ve stanovené lhůtě, která nesmí být delší než 15 dnů ode dne doručení rozhodnutí nadřízeného orgánu, zjednal nápravu, jde-li o úhradu nebo odměnu za poskytnutí informace územním samosprávným celkem v samostatné působnosti. </w:t>
            </w:r>
          </w:p>
          <w:p>
            <w:pPr>
              <w:pStyle w:val="Normal"/>
              <w:widowControl w:val="false"/>
              <w:spacing w:lineRule="auto" w:line="240" w:before="0" w:after="0"/>
              <w:ind w:left="560" w:hanging="0"/>
              <w:rPr>
                <w:rFonts w:ascii="Arial" w:hAnsi="Arial" w:eastAsia="Arial" w:cs="Arial"/>
                <w:sz w:val="20"/>
                <w:szCs w:val="20"/>
              </w:rPr>
            </w:pPr>
            <w:r>
              <w:rPr>
                <w:rFonts w:eastAsia="Arial" w:cs="Arial" w:ascii="Arial" w:hAnsi="Arial"/>
                <w:sz w:val="20"/>
                <w:szCs w:val="20"/>
              </w:rPr>
              <w:t xml:space="preserve"> </w:t>
            </w:r>
          </w:p>
          <w:p>
            <w:pPr>
              <w:pStyle w:val="Normal"/>
              <w:widowControl w:val="false"/>
              <w:spacing w:lineRule="auto" w:line="240" w:before="0" w:after="0"/>
              <w:rPr>
                <w:rFonts w:ascii="Arial" w:hAnsi="Arial" w:cs="Arial"/>
                <w:sz w:val="20"/>
                <w:szCs w:val="20"/>
              </w:rPr>
            </w:pPr>
            <w:r>
              <w:rPr>
                <w:rFonts w:cs="Arial" w:ascii="Arial" w:hAnsi="Arial"/>
                <w:sz w:val="20"/>
                <w:szCs w:val="20"/>
              </w:rPr>
              <w:t xml:space="preserve">(8) Nadřízený orgán o stížnosti rozhodne do 15 dnů ode dne, kdy mu byla předložena. </w:t>
            </w:r>
          </w:p>
          <w:p>
            <w:pPr>
              <w:pStyle w:val="Normal"/>
              <w:widowControl w:val="false"/>
              <w:spacing w:lineRule="auto" w:line="240" w:before="0" w:after="0"/>
              <w:rPr>
                <w:rFonts w:ascii="Arial" w:hAnsi="Arial" w:eastAsia="Arial" w:cs="Arial"/>
                <w:sz w:val="20"/>
                <w:szCs w:val="20"/>
              </w:rPr>
            </w:pPr>
            <w:r>
              <w:rPr>
                <w:rFonts w:eastAsia="Arial" w:cs="Arial" w:ascii="Arial" w:hAnsi="Arial"/>
                <w:sz w:val="20"/>
                <w:szCs w:val="20"/>
              </w:rPr>
              <w:t xml:space="preserve"> </w:t>
            </w:r>
          </w:p>
          <w:p>
            <w:pPr>
              <w:pStyle w:val="Normal"/>
              <w:widowControl w:val="false"/>
              <w:spacing w:lineRule="auto" w:line="240" w:before="0" w:after="0"/>
              <w:rPr>
                <w:rFonts w:ascii="Arial" w:hAnsi="Arial" w:cs="Arial"/>
                <w:sz w:val="20"/>
                <w:szCs w:val="20"/>
              </w:rPr>
            </w:pPr>
            <w:r>
              <w:rPr>
                <w:rFonts w:cs="Arial" w:ascii="Arial" w:hAnsi="Arial"/>
                <w:sz w:val="20"/>
                <w:szCs w:val="20"/>
              </w:rPr>
              <w:t xml:space="preserve">(9) Rozhodnutí podle odstavců 6 a 7 se oznamuje žadateli a povinnému subjektu. Proti rozhodnutí vydanému podle odstavců 6 a 7 se nelze odvolat. Jde-li však o rozhodnutí podle odstavce 6 písm. c), nelze se odvolat pouze v případě, kdy rozhodl nadřízený orgán určený podle § 178 odst. 2 věty poslední správního řádu nebo podle § 20 odst. 5 tohoto zákona. </w:t>
            </w:r>
          </w:p>
          <w:p>
            <w:pPr>
              <w:pStyle w:val="Normal"/>
              <w:widowControl w:val="false"/>
              <w:spacing w:lineRule="auto" w:line="240" w:before="0" w:after="0"/>
              <w:rPr>
                <w:rFonts w:ascii="Arial" w:hAnsi="Arial" w:eastAsia="Arial" w:cs="Arial"/>
                <w:sz w:val="20"/>
                <w:szCs w:val="20"/>
              </w:rPr>
            </w:pPr>
            <w:r>
              <w:rPr>
                <w:rFonts w:eastAsia="Arial" w:cs="Arial" w:ascii="Arial" w:hAnsi="Arial"/>
                <w:sz w:val="20"/>
                <w:szCs w:val="20"/>
              </w:rPr>
              <w:t xml:space="preserve"> </w:t>
            </w:r>
          </w:p>
          <w:p>
            <w:pPr>
              <w:pStyle w:val="Normal"/>
              <w:widowControl w:val="false"/>
              <w:spacing w:lineRule="auto" w:line="240" w:before="0" w:after="0"/>
              <w:rPr>
                <w:rFonts w:ascii="Arial" w:hAnsi="Arial" w:cs="Arial"/>
                <w:sz w:val="20"/>
                <w:szCs w:val="20"/>
              </w:rPr>
            </w:pPr>
            <w:r>
              <w:rPr>
                <w:rFonts w:cs="Arial" w:ascii="Arial" w:hAnsi="Arial"/>
                <w:sz w:val="20"/>
                <w:szCs w:val="20"/>
              </w:rPr>
              <w:t>(10) Je-li poskytnuta informace podle odstavce 6 písm. c), žadatel může ve smyslu odstavce 1 písm. a) nebo c) postupovat obdobně.</w:t>
            </w:r>
          </w:p>
        </w:tc>
      </w:tr>
      <w:tr>
        <w:trPr/>
        <w:tc>
          <w:tcPr>
            <w:tcW w:w="2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12. Formuláře</w:t>
            </w:r>
          </w:p>
        </w:tc>
        <w:tc>
          <w:tcPr>
            <w:tcW w:w="62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Pro komunikaci s příspěvkovou organizací nejsou předepsány žádné formuláře.</w:t>
            </w:r>
          </w:p>
        </w:tc>
      </w:tr>
      <w:tr>
        <w:trPr/>
        <w:tc>
          <w:tcPr>
            <w:tcW w:w="2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 xml:space="preserve">13. Popisy postupů - návody pro řešení životních situací </w:t>
            </w:r>
          </w:p>
        </w:tc>
        <w:tc>
          <w:tcPr>
            <w:tcW w:w="62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hyperlink r:id="rId4">
              <w:r>
                <w:rPr>
                  <w:rStyle w:val="InternetLink"/>
                  <w:rFonts w:cs="Arial" w:ascii="Arial" w:hAnsi="Arial"/>
                  <w:sz w:val="20"/>
                  <w:szCs w:val="20"/>
                </w:rPr>
                <w:t>https://portal.gov.cz/obcan/zivotni-situace/</w:t>
              </w:r>
            </w:hyperlink>
          </w:p>
          <w:p>
            <w:pPr>
              <w:pStyle w:val="Normal"/>
              <w:widowControl w:val="false"/>
              <w:spacing w:lineRule="auto" w:line="240" w:before="0" w:after="0"/>
              <w:rPr>
                <w:rFonts w:ascii="Arial" w:hAnsi="Arial" w:cs="Arial"/>
                <w:sz w:val="20"/>
                <w:szCs w:val="20"/>
              </w:rPr>
            </w:pPr>
            <w:r>
              <w:rPr>
                <w:rFonts w:cs="Arial" w:ascii="Arial" w:hAnsi="Arial"/>
                <w:sz w:val="20"/>
                <w:szCs w:val="20"/>
              </w:rPr>
            </w:r>
          </w:p>
        </w:tc>
      </w:tr>
      <w:tr>
        <w:trPr/>
        <w:tc>
          <w:tcPr>
            <w:tcW w:w="2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14. Předpisy</w:t>
            </w:r>
          </w:p>
        </w:tc>
        <w:tc>
          <w:tcPr>
            <w:tcW w:w="6245"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lineRule="auto" w:line="240" w:before="0" w:after="0"/>
              <w:rPr>
                <w:rFonts w:ascii="Arial" w:hAnsi="Arial" w:cs="Arial"/>
                <w:sz w:val="20"/>
                <w:szCs w:val="20"/>
              </w:rPr>
            </w:pPr>
            <w:r>
              <w:rPr>
                <w:rFonts w:cs="Arial" w:ascii="Arial" w:hAnsi="Arial"/>
                <w:sz w:val="20"/>
                <w:szCs w:val="20"/>
              </w:rPr>
            </w:r>
          </w:p>
        </w:tc>
      </w:tr>
      <w:tr>
        <w:trPr/>
        <w:tc>
          <w:tcPr>
            <w:tcW w:w="2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14.1 Nejdůležitější používané předpisy</w:t>
            </w:r>
          </w:p>
        </w:tc>
        <w:tc>
          <w:tcPr>
            <w:tcW w:w="62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cs="Arial" w:ascii="Arial" w:hAnsi="Arial"/>
                <w:sz w:val="20"/>
                <w:szCs w:val="20"/>
              </w:rPr>
              <w:t>Zákon č. 257/2001 Sb., zákon o knihovnách a podmínkách provozování veřejných knihovnických a informačních služeb (knihovní zákon) a návazné prováděcí předpisy</w:t>
            </w:r>
          </w:p>
          <w:p>
            <w:pPr>
              <w:pStyle w:val="Normal"/>
              <w:widowControl w:val="false"/>
              <w:spacing w:lineRule="auto" w:line="240" w:before="0" w:after="0"/>
              <w:rPr>
                <w:rFonts w:ascii="Arial" w:hAnsi="Arial" w:cs="Arial"/>
                <w:sz w:val="20"/>
                <w:szCs w:val="20"/>
              </w:rPr>
            </w:pPr>
            <w:r>
              <w:rPr>
                <w:rFonts w:cs="Arial" w:ascii="Arial" w:hAnsi="Arial"/>
                <w:sz w:val="20"/>
                <w:szCs w:val="20"/>
              </w:rPr>
              <w:t>Zákon č. 121/2000 Sb., o právu autorském, ve znění pozdějších předpisů</w:t>
            </w:r>
          </w:p>
          <w:p>
            <w:pPr>
              <w:pStyle w:val="Normal"/>
              <w:widowControl w:val="false"/>
              <w:spacing w:lineRule="auto" w:line="240" w:before="0" w:after="0"/>
              <w:rPr>
                <w:rFonts w:ascii="Arial" w:hAnsi="Arial" w:cs="Arial"/>
                <w:sz w:val="20"/>
                <w:szCs w:val="20"/>
              </w:rPr>
            </w:pPr>
            <w:r>
              <w:rPr>
                <w:rFonts w:cs="Arial" w:ascii="Arial" w:hAnsi="Arial"/>
                <w:sz w:val="20"/>
                <w:szCs w:val="20"/>
              </w:rPr>
              <w:t>Zákon č. 250/2000 Sb., o rozpočtových pravidlech územních rozpočtů, ve znění pozdějších předpisů</w:t>
            </w:r>
          </w:p>
          <w:p>
            <w:pPr>
              <w:pStyle w:val="Normal"/>
              <w:widowControl w:val="false"/>
              <w:spacing w:lineRule="auto" w:line="240" w:before="0" w:after="0"/>
              <w:rPr>
                <w:rFonts w:ascii="Arial" w:hAnsi="Arial" w:cs="Arial"/>
                <w:sz w:val="20"/>
                <w:szCs w:val="20"/>
              </w:rPr>
            </w:pPr>
            <w:r>
              <w:rPr>
                <w:rFonts w:cs="Arial" w:ascii="Arial" w:hAnsi="Arial"/>
                <w:sz w:val="20"/>
                <w:szCs w:val="20"/>
              </w:rPr>
              <w:t>Zákon č. 106/1999 Sb., o svobodném přístupu k informacím, ve znění pozdějších předpisů</w:t>
            </w:r>
          </w:p>
          <w:p>
            <w:pPr>
              <w:pStyle w:val="Normal"/>
              <w:widowControl w:val="false"/>
              <w:spacing w:lineRule="auto" w:line="240" w:before="0" w:after="0"/>
              <w:rPr>
                <w:rFonts w:ascii="Arial" w:hAnsi="Arial" w:cs="Arial"/>
                <w:sz w:val="20"/>
                <w:szCs w:val="20"/>
              </w:rPr>
            </w:pPr>
            <w:r>
              <w:rPr>
                <w:rFonts w:cs="Arial" w:ascii="Arial" w:hAnsi="Arial"/>
                <w:sz w:val="20"/>
                <w:szCs w:val="20"/>
              </w:rPr>
              <w:t xml:space="preserve">Nařízení Evropského parlamentu a Rady (EU) 2016/679 ze dne </w:t>
              <w:br/>
              <w:t>27. dubna 2016 o ochraně fyzických osob v souvislosti se zpracováním osobních údajů a o volném pohybu těchto údajů a o zrušení směrnice 95/46/ES (obecné nařízení o ochraně osobních údajů)</w:t>
            </w:r>
          </w:p>
          <w:p>
            <w:pPr>
              <w:pStyle w:val="Normal"/>
              <w:widowControl w:val="false"/>
              <w:spacing w:lineRule="auto" w:line="240" w:before="0" w:after="0"/>
              <w:rPr>
                <w:rFonts w:ascii="Arial" w:hAnsi="Arial" w:cs="Arial"/>
                <w:sz w:val="20"/>
                <w:szCs w:val="20"/>
              </w:rPr>
            </w:pPr>
            <w:r>
              <w:rPr>
                <w:rFonts w:cs="Arial" w:ascii="Arial" w:hAnsi="Arial"/>
                <w:sz w:val="20"/>
                <w:szCs w:val="20"/>
              </w:rPr>
              <w:t>Zákon č. 110/2019 Sb., o zpracování osobních údajů</w:t>
            </w:r>
          </w:p>
          <w:p>
            <w:pPr>
              <w:pStyle w:val="Normal"/>
              <w:widowControl w:val="false"/>
              <w:spacing w:lineRule="auto" w:line="240" w:before="0" w:after="0"/>
              <w:rPr>
                <w:rFonts w:ascii="Arial" w:hAnsi="Arial" w:cs="Arial"/>
                <w:sz w:val="20"/>
                <w:szCs w:val="20"/>
              </w:rPr>
            </w:pPr>
            <w:r>
              <w:rPr>
                <w:rFonts w:cs="Arial" w:ascii="Arial" w:hAnsi="Arial"/>
                <w:sz w:val="20"/>
                <w:szCs w:val="20"/>
              </w:rPr>
              <w:t>Zákon č. 262/2006 Sb., zákoník práce, ve znění pozdějších předpisů</w:t>
            </w:r>
          </w:p>
          <w:p>
            <w:pPr>
              <w:pStyle w:val="Normal"/>
              <w:widowControl w:val="false"/>
              <w:spacing w:lineRule="auto" w:line="240" w:before="0" w:after="0"/>
              <w:rPr>
                <w:rFonts w:ascii="Arial" w:hAnsi="Arial" w:cs="Arial"/>
                <w:sz w:val="20"/>
                <w:szCs w:val="20"/>
              </w:rPr>
            </w:pPr>
            <w:r>
              <w:rPr>
                <w:rFonts w:cs="Arial" w:ascii="Arial" w:hAnsi="Arial"/>
                <w:sz w:val="20"/>
                <w:szCs w:val="20"/>
              </w:rPr>
              <w:t>Zákon č. 134/2016 Sb., o zadávání veřejných zakázek</w:t>
            </w:r>
          </w:p>
          <w:p>
            <w:pPr>
              <w:pStyle w:val="Normal"/>
              <w:widowControl w:val="false"/>
              <w:spacing w:lineRule="auto" w:line="240" w:before="0" w:after="0"/>
              <w:rPr>
                <w:rFonts w:ascii="Arial" w:hAnsi="Arial" w:cs="Arial"/>
                <w:sz w:val="20"/>
                <w:szCs w:val="20"/>
              </w:rPr>
            </w:pPr>
            <w:r>
              <w:rPr>
                <w:rFonts w:cs="Arial" w:ascii="Arial" w:hAnsi="Arial"/>
                <w:sz w:val="20"/>
                <w:szCs w:val="20"/>
              </w:rPr>
              <w:t>Zákon č. 340/2015 Sb. o zvláštních podmínkách účinnosti některých smluv, uveřejňování těchto smluv a o registru smluv (zákon o registru smluv)</w:t>
            </w:r>
          </w:p>
          <w:p>
            <w:pPr>
              <w:pStyle w:val="Normal"/>
              <w:widowControl w:val="false"/>
              <w:spacing w:lineRule="auto" w:line="240" w:before="0" w:after="0"/>
              <w:rPr>
                <w:rFonts w:ascii="Arial" w:hAnsi="Arial" w:cs="Arial"/>
                <w:sz w:val="20"/>
                <w:szCs w:val="20"/>
              </w:rPr>
            </w:pPr>
            <w:r>
              <w:rPr>
                <w:rFonts w:cs="Arial" w:ascii="Arial" w:hAnsi="Arial"/>
                <w:sz w:val="20"/>
                <w:szCs w:val="20"/>
              </w:rPr>
              <w:t>Zákon č. 563/1991 Sb., o účetnictví, ve znění pozdějších předpisů</w:t>
            </w:r>
          </w:p>
          <w:p>
            <w:pPr>
              <w:pStyle w:val="Normal"/>
              <w:widowControl w:val="false"/>
              <w:spacing w:lineRule="auto" w:line="240" w:before="0" w:after="0"/>
              <w:rPr>
                <w:rFonts w:ascii="Arial" w:hAnsi="Arial" w:cs="Arial"/>
                <w:sz w:val="20"/>
                <w:szCs w:val="20"/>
              </w:rPr>
            </w:pPr>
            <w:r>
              <w:rPr>
                <w:rFonts w:cs="Arial" w:ascii="Arial" w:hAnsi="Arial"/>
                <w:sz w:val="20"/>
                <w:szCs w:val="20"/>
              </w:rPr>
              <w:t>Vyhláška č. 410/2009 Sb., kterou se provádějí některá ustanovení zákona č. 563/1991 Sb., o účetnictví, ve znění pozdějších předpisů, pro některé vybrané účetní jednotky</w:t>
            </w:r>
          </w:p>
          <w:p>
            <w:pPr>
              <w:pStyle w:val="Normal"/>
              <w:widowControl w:val="false"/>
              <w:spacing w:lineRule="auto" w:line="240" w:before="0" w:after="0"/>
              <w:rPr>
                <w:rFonts w:ascii="Arial" w:hAnsi="Arial" w:cs="Arial"/>
                <w:sz w:val="20"/>
                <w:szCs w:val="20"/>
              </w:rPr>
            </w:pPr>
            <w:r>
              <w:rPr>
                <w:rFonts w:cs="Arial" w:ascii="Arial" w:hAnsi="Arial"/>
                <w:sz w:val="20"/>
                <w:szCs w:val="20"/>
              </w:rPr>
              <w:t>Vyhláška č. 220/2013 Sb., o požadavcích na schvalování účetních závěrek některých vybraných účetních jednotek</w:t>
            </w:r>
          </w:p>
          <w:p>
            <w:pPr>
              <w:pStyle w:val="Normal"/>
              <w:widowControl w:val="false"/>
              <w:spacing w:lineRule="auto" w:line="240" w:before="0" w:after="0"/>
              <w:rPr>
                <w:rFonts w:ascii="Arial" w:hAnsi="Arial" w:cs="Arial"/>
                <w:sz w:val="20"/>
                <w:szCs w:val="20"/>
              </w:rPr>
            </w:pPr>
            <w:r>
              <w:rPr>
                <w:rFonts w:cs="Arial" w:ascii="Arial" w:hAnsi="Arial"/>
                <w:sz w:val="20"/>
                <w:szCs w:val="20"/>
              </w:rPr>
            </w:r>
          </w:p>
          <w:p>
            <w:pPr>
              <w:pStyle w:val="Normal"/>
              <w:widowControl w:val="false"/>
              <w:spacing w:lineRule="auto" w:line="240" w:before="0" w:after="0"/>
              <w:rPr>
                <w:rFonts w:ascii="Arial" w:hAnsi="Arial" w:cs="Arial"/>
                <w:sz w:val="20"/>
                <w:szCs w:val="20"/>
              </w:rPr>
            </w:pPr>
            <w:hyperlink r:id="rId5">
              <w:r>
                <w:rPr>
                  <w:rStyle w:val="InternetLink"/>
                  <w:rFonts w:cs="Arial" w:ascii="Arial" w:hAnsi="Arial"/>
                  <w:sz w:val="20"/>
                  <w:szCs w:val="20"/>
                </w:rPr>
                <w:t>https://www.zakonyprolidi.cz/</w:t>
              </w:r>
            </w:hyperlink>
          </w:p>
          <w:p>
            <w:pPr>
              <w:pStyle w:val="Normal"/>
              <w:widowControl w:val="false"/>
              <w:spacing w:lineRule="auto" w:line="240" w:before="0" w:after="0"/>
              <w:rPr>
                <w:rFonts w:ascii="Arial" w:hAnsi="Arial" w:cs="Arial"/>
                <w:sz w:val="20"/>
                <w:szCs w:val="20"/>
              </w:rPr>
            </w:pPr>
            <w:r>
              <w:rPr>
                <w:rFonts w:cs="Arial" w:ascii="Arial" w:hAnsi="Arial"/>
                <w:sz w:val="20"/>
                <w:szCs w:val="20"/>
                <w:highlight w:val="yellow"/>
              </w:rPr>
              <w:t>/Uvádí se jako textová informace s hypertextovými odkazy na internetové stránky, které obsahují text předpisů/</w:t>
            </w:r>
          </w:p>
          <w:p>
            <w:pPr>
              <w:pStyle w:val="Normal"/>
              <w:widowControl w:val="false"/>
              <w:spacing w:lineRule="auto" w:line="240" w:before="0" w:after="0"/>
              <w:rPr>
                <w:rFonts w:ascii="Arial" w:hAnsi="Arial" w:cs="Arial"/>
                <w:sz w:val="20"/>
                <w:szCs w:val="20"/>
              </w:rPr>
            </w:pPr>
            <w:r>
              <w:rPr>
                <w:rFonts w:cs="Arial" w:ascii="Arial" w:hAnsi="Arial"/>
                <w:sz w:val="20"/>
                <w:szCs w:val="20"/>
              </w:rPr>
            </w:r>
          </w:p>
        </w:tc>
      </w:tr>
      <w:tr>
        <w:trPr/>
        <w:tc>
          <w:tcPr>
            <w:tcW w:w="2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14.2  Vydané právní předpisy</w:t>
            </w:r>
          </w:p>
        </w:tc>
        <w:tc>
          <w:tcPr>
            <w:tcW w:w="62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Příspěvková organizace nevydává právní předpisy</w:t>
            </w:r>
          </w:p>
        </w:tc>
      </w:tr>
      <w:tr>
        <w:trPr/>
        <w:tc>
          <w:tcPr>
            <w:tcW w:w="2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15. Úhrady za poskytování informací</w:t>
            </w:r>
          </w:p>
        </w:tc>
        <w:tc>
          <w:tcPr>
            <w:tcW w:w="6245"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lineRule="auto" w:line="240" w:before="0" w:after="0"/>
              <w:rPr>
                <w:rFonts w:ascii="Arial" w:hAnsi="Arial" w:cs="Arial"/>
                <w:sz w:val="20"/>
                <w:szCs w:val="20"/>
              </w:rPr>
            </w:pPr>
            <w:r>
              <w:rPr>
                <w:rFonts w:cs="Arial" w:ascii="Arial" w:hAnsi="Arial"/>
                <w:sz w:val="20"/>
                <w:szCs w:val="20"/>
              </w:rPr>
            </w:r>
          </w:p>
        </w:tc>
      </w:tr>
      <w:tr>
        <w:trPr/>
        <w:tc>
          <w:tcPr>
            <w:tcW w:w="2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 xml:space="preserve">15.1  Sazebník úhrad za poskytování informací </w:t>
            </w:r>
          </w:p>
        </w:tc>
        <w:tc>
          <w:tcPr>
            <w:tcW w:w="62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Sazebník úhrad je vypracován v souladu s nařízením vlády č. 173/2006 Sb., o zásadách stanovení úhrad a licenčních odměn za poskytování informací podle zákona</w:t>
            </w:r>
          </w:p>
          <w:p>
            <w:pPr>
              <w:pStyle w:val="Normal"/>
              <w:widowControl w:val="false"/>
              <w:spacing w:lineRule="auto" w:line="240" w:before="0" w:after="0"/>
              <w:rPr>
                <w:rFonts w:ascii="Arial" w:hAnsi="Arial" w:cs="Arial"/>
                <w:sz w:val="20"/>
                <w:szCs w:val="20"/>
              </w:rPr>
            </w:pPr>
            <w:r>
              <w:rPr>
                <w:rFonts w:cs="Arial" w:ascii="Arial" w:hAnsi="Arial"/>
                <w:sz w:val="20"/>
                <w:szCs w:val="20"/>
              </w:rPr>
              <w:t>o svobodném přístupu k informacím</w:t>
            </w:r>
          </w:p>
          <w:p>
            <w:pPr>
              <w:pStyle w:val="Normal"/>
              <w:widowControl w:val="false"/>
              <w:spacing w:lineRule="auto" w:line="240" w:before="0" w:after="0"/>
              <w:rPr/>
            </w:pPr>
            <w:r>
              <w:rPr>
                <w:rFonts w:cs="Arial" w:ascii="Arial" w:hAnsi="Arial"/>
                <w:sz w:val="20"/>
                <w:szCs w:val="20"/>
              </w:rPr>
              <w:t>/</w:t>
            </w:r>
            <w:r>
              <w:rPr>
                <w:rFonts w:cs="Arial" w:ascii="Arial" w:hAnsi="Arial"/>
                <w:sz w:val="20"/>
                <w:szCs w:val="20"/>
                <w:highlight w:val="yellow"/>
              </w:rPr>
              <w:t>Doplňte hypertextový odkaz na internetové stránky, kde je dokument dostupný /</w:t>
            </w:r>
            <w:r>
              <w:rPr>
                <w:rFonts w:cs="Arial" w:ascii="Arial" w:hAnsi="Arial"/>
                <w:sz w:val="20"/>
                <w:szCs w:val="20"/>
              </w:rPr>
              <w:t xml:space="preserve"> </w:t>
            </w:r>
          </w:p>
        </w:tc>
      </w:tr>
      <w:tr>
        <w:trPr/>
        <w:tc>
          <w:tcPr>
            <w:tcW w:w="2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15.2  Usnesení nadřízeného orgánu o výši úhrad za poskytnutí informací</w:t>
            </w:r>
          </w:p>
        </w:tc>
        <w:tc>
          <w:tcPr>
            <w:tcW w:w="62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Žádná usnesení vydaná podle § 16a odst. 7 InfZ nebyla přijata.</w:t>
            </w:r>
          </w:p>
        </w:tc>
      </w:tr>
      <w:tr>
        <w:trPr/>
        <w:tc>
          <w:tcPr>
            <w:tcW w:w="2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16. Licenční smlouvy</w:t>
            </w:r>
          </w:p>
        </w:tc>
        <w:tc>
          <w:tcPr>
            <w:tcW w:w="6245"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lineRule="auto" w:line="240" w:before="0" w:after="0"/>
              <w:rPr>
                <w:rFonts w:ascii="Arial" w:hAnsi="Arial" w:cs="Arial"/>
                <w:sz w:val="20"/>
                <w:szCs w:val="20"/>
              </w:rPr>
            </w:pPr>
            <w:r>
              <w:rPr>
                <w:rFonts w:cs="Arial" w:ascii="Arial" w:hAnsi="Arial"/>
                <w:sz w:val="20"/>
                <w:szCs w:val="20"/>
              </w:rPr>
            </w:r>
          </w:p>
        </w:tc>
      </w:tr>
      <w:tr>
        <w:trPr/>
        <w:tc>
          <w:tcPr>
            <w:tcW w:w="2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16.1  Vzory licenčních smluv</w:t>
            </w:r>
          </w:p>
        </w:tc>
        <w:tc>
          <w:tcPr>
            <w:tcW w:w="62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Vzorová licenční a podlicenční smlouva ve smyslu § 14a InfZ</w:t>
            </w:r>
          </w:p>
          <w:p>
            <w:pPr>
              <w:pStyle w:val="Normal"/>
              <w:widowControl w:val="false"/>
              <w:spacing w:lineRule="auto" w:line="240" w:before="0" w:after="0"/>
              <w:rPr>
                <w:rFonts w:ascii="Arial" w:hAnsi="Arial" w:cs="Arial"/>
                <w:sz w:val="20"/>
                <w:szCs w:val="20"/>
              </w:rPr>
            </w:pPr>
            <w:r>
              <w:rPr>
                <w:rFonts w:cs="Arial" w:ascii="Arial" w:hAnsi="Arial"/>
                <w:sz w:val="20"/>
                <w:szCs w:val="20"/>
              </w:rPr>
              <w:t>/</w:t>
            </w:r>
            <w:r>
              <w:rPr>
                <w:rFonts w:cs="Arial" w:ascii="Arial" w:hAnsi="Arial"/>
                <w:sz w:val="20"/>
                <w:szCs w:val="20"/>
                <w:highlight w:val="yellow"/>
              </w:rPr>
              <w:t>Doplňte hypertextový odkaz na internetové stránky, kde jsou dokumenty dostupné/</w:t>
            </w:r>
          </w:p>
        </w:tc>
      </w:tr>
      <w:tr>
        <w:trPr/>
        <w:tc>
          <w:tcPr>
            <w:tcW w:w="2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16.2  Výhradní licence</w:t>
            </w:r>
          </w:p>
        </w:tc>
        <w:tc>
          <w:tcPr>
            <w:tcW w:w="62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Příspěvková organizace nemá uzavřenou žádnou smlouvu o poskytnutí výhradní licence</w:t>
            </w:r>
          </w:p>
        </w:tc>
      </w:tr>
      <w:tr>
        <w:trPr/>
        <w:tc>
          <w:tcPr>
            <w:tcW w:w="28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w:hAnsi="Arial" w:cs="Arial"/>
                <w:sz w:val="20"/>
                <w:szCs w:val="20"/>
              </w:rPr>
            </w:pPr>
            <w:r>
              <w:rPr>
                <w:rFonts w:cs="Arial" w:ascii="Arial" w:hAnsi="Arial"/>
                <w:sz w:val="20"/>
                <w:szCs w:val="20"/>
              </w:rPr>
              <w:t>17. Výroční zpráva podle zákona č. 106/1999 Sb.</w:t>
            </w:r>
          </w:p>
        </w:tc>
        <w:tc>
          <w:tcPr>
            <w:tcW w:w="62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r>
              <w:rPr>
                <w:rFonts w:cs="Arial" w:ascii="Arial" w:hAnsi="Arial"/>
                <w:sz w:val="20"/>
                <w:szCs w:val="20"/>
              </w:rPr>
              <w:t xml:space="preserve">Výroční zprávy za rok 2019, 2020 a 2021 </w:t>
            </w:r>
          </w:p>
          <w:p>
            <w:pPr>
              <w:pStyle w:val="Normal"/>
              <w:widowControl w:val="false"/>
              <w:spacing w:lineRule="auto" w:line="240" w:before="0" w:after="0"/>
              <w:rPr>
                <w:rFonts w:ascii="Arial" w:hAnsi="Arial" w:cs="Arial"/>
                <w:sz w:val="20"/>
                <w:szCs w:val="20"/>
              </w:rPr>
            </w:pPr>
            <w:r>
              <w:rPr>
                <w:rFonts w:cs="Arial" w:ascii="Arial" w:hAnsi="Arial"/>
                <w:sz w:val="20"/>
                <w:szCs w:val="20"/>
              </w:rPr>
              <w:t>/</w:t>
            </w:r>
            <w:r>
              <w:rPr>
                <w:rFonts w:cs="Arial" w:ascii="Arial" w:hAnsi="Arial"/>
                <w:sz w:val="20"/>
                <w:szCs w:val="20"/>
                <w:highlight w:val="yellow"/>
              </w:rPr>
              <w:t>Doplňte hypertextový odkaz na internetové stránky, kde jsou dokumenty dostupné/</w:t>
            </w:r>
          </w:p>
        </w:tc>
      </w:tr>
    </w:tbl>
    <w:p>
      <w:pPr>
        <w:pStyle w:val="Normal"/>
        <w:spacing w:before="0" w:after="160"/>
        <w:rPr>
          <w:rFonts w:ascii="Arial" w:hAnsi="Arial" w:cs="Arial"/>
          <w:sz w:val="20"/>
          <w:szCs w:val="20"/>
        </w:rPr>
      </w:pPr>
      <w:r>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Segoe UI">
    <w:charset w:val="01"/>
    <w:family w:val="roman"/>
    <w:pitch w:val="variable"/>
  </w:font>
  <w:font w:name="Liberation Sans">
    <w:altName w:val="Arial"/>
    <w:charset w:val="01"/>
    <w:family w:val="roman"/>
    <w:pitch w:val="variable"/>
  </w:font>
  <w:font w:name="Arial">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w:cs="Droid Sans Devanagari"/>
        <w:sz w:val="24"/>
        <w:szCs w:val="24"/>
        <w:lang w:val="cs-CZ" w:eastAsia="zh-CN" w:bidi="hi-IN"/>
      </w:rPr>
    </w:rPrDefault>
    <w:pPrDefault>
      <w:pPr>
        <w:suppressAutoHyphens w:val="true"/>
      </w:pPr>
    </w:pPrDefault>
  </w:docDefaults>
  <w:style w:type="paragraph" w:styleId="Normal">
    <w:name w:val="Normal"/>
    <w:qFormat/>
    <w:pPr>
      <w:widowControl/>
      <w:suppressAutoHyphens w:val="true"/>
      <w:bidi w:val="0"/>
      <w:spacing w:lineRule="auto" w:line="254" w:before="0" w:after="160"/>
      <w:jc w:val="left"/>
    </w:pPr>
    <w:rPr>
      <w:rFonts w:ascii="Calibri" w:hAnsi="Calibri" w:eastAsia="Times New Roman" w:cs="Times New Roman"/>
      <w:color w:val="auto"/>
      <w:kern w:val="0"/>
      <w:sz w:val="22"/>
      <w:szCs w:val="22"/>
      <w:lang w:val="cs-CZ" w:eastAsia="zh-CN" w:bidi="ar-SA"/>
    </w:rPr>
  </w:style>
  <w:style w:type="paragraph" w:styleId="Heading1">
    <w:name w:val="Heading 1"/>
    <w:basedOn w:val="Normal"/>
    <w:next w:val="Normal"/>
    <w:qFormat/>
    <w:pPr>
      <w:keepNext w:val="true"/>
      <w:keepLines/>
      <w:numPr>
        <w:ilvl w:val="0"/>
        <w:numId w:val="1"/>
      </w:numPr>
      <w:spacing w:before="240" w:after="0"/>
      <w:outlineLvl w:val="0"/>
    </w:pPr>
    <w:rPr>
      <w:rFonts w:ascii="Calibri Light" w:hAnsi="Calibri Light" w:eastAsia="Times New Roman" w:cs="Times New Roman"/>
      <w:color w:val="2E74B5"/>
      <w:sz w:val="32"/>
      <w:szCs w:val="32"/>
    </w:rPr>
  </w:style>
  <w:style w:type="paragraph" w:styleId="Heading2">
    <w:name w:val="Heading 2"/>
    <w:basedOn w:val="Normal"/>
    <w:next w:val="Normal"/>
    <w:qFormat/>
    <w:pPr>
      <w:keepNext w:val="true"/>
      <w:keepLines/>
      <w:numPr>
        <w:ilvl w:val="1"/>
        <w:numId w:val="1"/>
      </w:numPr>
      <w:spacing w:before="40" w:after="0"/>
      <w:outlineLvl w:val="1"/>
    </w:pPr>
    <w:rPr>
      <w:rFonts w:ascii="Calibri Light" w:hAnsi="Calibri Light" w:eastAsia="Times New Roman" w:cs="Times New Roman"/>
      <w:color w:val="2E74B5"/>
      <w:sz w:val="26"/>
      <w:szCs w:val="26"/>
    </w:rPr>
  </w:style>
  <w:style w:type="character" w:styleId="WW8Num1z0">
    <w:name w:val="WW8Num1z0"/>
    <w:qFormat/>
    <w:rPr>
      <w:rFonts w:ascii="Symbol" w:hAnsi="Symbol" w:cs="Symbo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Standardnpsmoodstavce">
    <w:name w:val="Standardní písmo odstavce"/>
    <w:qFormat/>
    <w:rPr/>
  </w:style>
  <w:style w:type="character" w:styleId="Nadpis1Char">
    <w:name w:val="Nadpis 1 Char"/>
    <w:basedOn w:val="Standardnpsmoodstavce"/>
    <w:qFormat/>
    <w:rPr>
      <w:rFonts w:ascii="Calibri Light" w:hAnsi="Calibri Light" w:eastAsia="Times New Roman" w:cs="Times New Roman"/>
      <w:color w:val="2E74B5"/>
      <w:sz w:val="32"/>
      <w:szCs w:val="32"/>
    </w:rPr>
  </w:style>
  <w:style w:type="character" w:styleId="Nadpis2Char">
    <w:name w:val="Nadpis 2 Char"/>
    <w:basedOn w:val="Standardnpsmoodstavce"/>
    <w:qFormat/>
    <w:rPr>
      <w:rFonts w:ascii="Calibri Light" w:hAnsi="Calibri Light" w:eastAsia="Times New Roman" w:cs="Times New Roman"/>
      <w:color w:val="2E74B5"/>
      <w:sz w:val="26"/>
      <w:szCs w:val="26"/>
    </w:rPr>
  </w:style>
  <w:style w:type="character" w:styleId="Odkaznakoment">
    <w:name w:val="Odkaz na komentář"/>
    <w:basedOn w:val="Standardnpsmoodstavce"/>
    <w:qFormat/>
    <w:rPr>
      <w:sz w:val="16"/>
      <w:szCs w:val="16"/>
    </w:rPr>
  </w:style>
  <w:style w:type="character" w:styleId="TextkomenteChar">
    <w:name w:val="Text komentáře Char"/>
    <w:basedOn w:val="Standardnpsmoodstavce"/>
    <w:qFormat/>
    <w:rPr>
      <w:rFonts w:eastAsia="Times New Roman"/>
      <w:sz w:val="20"/>
      <w:szCs w:val="20"/>
    </w:rPr>
  </w:style>
  <w:style w:type="character" w:styleId="PedmtkomenteChar">
    <w:name w:val="Předmět komentáře Char"/>
    <w:basedOn w:val="TextkomenteChar"/>
    <w:qFormat/>
    <w:rPr>
      <w:rFonts w:eastAsia="Times New Roman"/>
      <w:b/>
      <w:bCs/>
      <w:sz w:val="20"/>
      <w:szCs w:val="20"/>
    </w:rPr>
  </w:style>
  <w:style w:type="character" w:styleId="TextbublinyChar">
    <w:name w:val="Text bubliny Char"/>
    <w:basedOn w:val="Standardnpsmoodstavce"/>
    <w:qFormat/>
    <w:rPr>
      <w:rFonts w:ascii="Segoe UI" w:hAnsi="Segoe UI" w:eastAsia="Times New Roman" w:cs="Segoe UI"/>
      <w:sz w:val="18"/>
      <w:szCs w:val="18"/>
    </w:rPr>
  </w:style>
  <w:style w:type="character" w:styleId="InternetLink">
    <w:name w:val="Hyperlink"/>
    <w:basedOn w:val="Standardnpsmoodstavce"/>
    <w:rPr>
      <w:color w:val="0563C1"/>
      <w:u w:val="single"/>
    </w:rPr>
  </w:style>
  <w:style w:type="character" w:styleId="UnresolvedMention">
    <w:name w:val="Unresolved Mention"/>
    <w:basedOn w:val="Standardnpsmoodstavce"/>
    <w:qFormat/>
    <w:rPr>
      <w:color w:val="808080"/>
      <w:shd w:fill="E6E6E6" w:val="clear"/>
    </w:rPr>
  </w:style>
  <w:style w:type="character" w:styleId="ZhlavChar">
    <w:name w:val="Záhlaví Char"/>
    <w:basedOn w:val="Standardnpsmoodstavce"/>
    <w:qFormat/>
    <w:rPr>
      <w:rFonts w:eastAsia="Times New Roman"/>
      <w:sz w:val="22"/>
      <w:szCs w:val="22"/>
    </w:rPr>
  </w:style>
  <w:style w:type="paragraph" w:styleId="Heading">
    <w:name w:val="Heading"/>
    <w:basedOn w:val="Normal"/>
    <w:next w:val="TextBody"/>
    <w:qFormat/>
    <w:pPr>
      <w:keepNext w:val="true"/>
      <w:spacing w:before="240" w:after="120"/>
    </w:pPr>
    <w:rPr>
      <w:rFonts w:ascii="Liberation Sans" w:hAnsi="Liberation Sans" w:eastAsia="Source Han Sans CN" w:cs="Droid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lang w:val="zxx" w:eastAsia="zxx" w:bidi="zxx"/>
    </w:rPr>
  </w:style>
  <w:style w:type="paragraph" w:styleId="Odstavecseseznamem">
    <w:name w:val="Odstavec se seznamem"/>
    <w:basedOn w:val="Normal"/>
    <w:qFormat/>
    <w:pPr>
      <w:spacing w:before="0" w:after="160"/>
      <w:ind w:left="720" w:hanging="0"/>
      <w:contextualSpacing/>
    </w:pPr>
    <w:rPr/>
  </w:style>
  <w:style w:type="paragraph" w:styleId="Textkomente">
    <w:name w:val="Text komentáře"/>
    <w:basedOn w:val="Normal"/>
    <w:qFormat/>
    <w:pPr>
      <w:spacing w:lineRule="auto" w:line="240"/>
    </w:pPr>
    <w:rPr>
      <w:sz w:val="20"/>
      <w:szCs w:val="20"/>
    </w:rPr>
  </w:style>
  <w:style w:type="paragraph" w:styleId="Pedmtkomente">
    <w:name w:val="Předmět komentáře"/>
    <w:basedOn w:val="Textkomente"/>
    <w:next w:val="Textkomente"/>
    <w:qFormat/>
    <w:pPr/>
    <w:rPr>
      <w:b/>
      <w:bCs/>
    </w:rPr>
  </w:style>
  <w:style w:type="paragraph" w:styleId="Textbubliny">
    <w:name w:val="Text bubliny"/>
    <w:basedOn w:val="Normal"/>
    <w:qFormat/>
    <w:pPr>
      <w:spacing w:lineRule="auto" w:line="240" w:before="0" w:after="0"/>
    </w:pPr>
    <w:rPr>
      <w:rFonts w:ascii="Segoe UI" w:hAnsi="Segoe UI" w:cs="Segoe UI"/>
      <w:sz w:val="18"/>
      <w:szCs w:val="18"/>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536" w:leader="none"/>
        <w:tab w:val="right" w:pos="9072" w:leader="none"/>
      </w:tabs>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knihovna.cz/" TargetMode="External"/><Relationship Id="rId3" Type="http://schemas.openxmlformats.org/officeDocument/2006/relationships/hyperlink" Target="mailto:podatelna@knihovna.cz" TargetMode="External"/><Relationship Id="rId4" Type="http://schemas.openxmlformats.org/officeDocument/2006/relationships/hyperlink" Target="https://portal.gov.cz/obcan/zivotni-situace/" TargetMode="External"/><Relationship Id="rId5" Type="http://schemas.openxmlformats.org/officeDocument/2006/relationships/hyperlink" Target="https://www.zakonyprolidi.cz/"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Normal_x005F_x0000_</Template>
  <TotalTime>0</TotalTime>
  <Application>LibreOffice/7.2.5.2.0$Linux_X86_64 LibreOffice_project/20$Build-2</Application>
  <AppVersion>15.0000</AppVersion>
  <Pages>5</Pages>
  <Words>1459</Words>
  <Characters>8524</Characters>
  <CharactersWithSpaces>9921</CharactersWithSpaces>
  <Paragraphs>155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2022-02-11T17:01:25Z</dcterms:created>
  <dc:creator/>
  <dc:description/>
  <dc:language>cs-CZ</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file>