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120"/>
        <w:ind w:right="431" w:hanging="0"/>
        <w:jc w:val="center"/>
        <w:rPr>
          <w:b/>
          <w:b/>
          <w:sz w:val="32"/>
          <w:szCs w:val="32"/>
        </w:rPr>
      </w:pPr>
      <w:r>
        <w:rPr>
          <w:b/>
          <w:sz w:val="32"/>
          <w:szCs w:val="32"/>
        </w:rPr>
        <w:t>Národní knihovna České republiky</w:t>
      </w:r>
    </w:p>
    <w:p>
      <w:pPr>
        <w:pStyle w:val="Normal"/>
        <w:spacing w:lineRule="auto" w:line="480" w:before="0" w:after="120"/>
        <w:ind w:right="431" w:hanging="0"/>
        <w:jc w:val="center"/>
        <w:rPr>
          <w:b/>
          <w:b/>
          <w:sz w:val="28"/>
          <w:szCs w:val="28"/>
        </w:rPr>
      </w:pPr>
      <w:r>
        <w:rPr>
          <w:b/>
          <w:sz w:val="28"/>
          <w:szCs w:val="28"/>
        </w:rPr>
        <w:t>Opatření generálního ředitele č. 18/2022</w:t>
      </w:r>
    </w:p>
    <w:p>
      <w:pPr>
        <w:pStyle w:val="Normal"/>
        <w:spacing w:lineRule="auto" w:line="480" w:before="0" w:after="120"/>
        <w:ind w:right="431" w:hanging="0"/>
        <w:jc w:val="center"/>
        <w:rPr>
          <w:b/>
          <w:b/>
          <w:sz w:val="32"/>
          <w:szCs w:val="32"/>
        </w:rPr>
      </w:pPr>
      <w:r>
        <w:rPr>
          <w:b/>
          <w:sz w:val="32"/>
          <w:szCs w:val="32"/>
        </w:rPr>
        <w:t>Protikorupční program</w:t>
      </w:r>
    </w:p>
    <w:p>
      <w:pPr>
        <w:pStyle w:val="Normal"/>
        <w:ind w:right="431" w:hanging="0"/>
        <w:jc w:val="center"/>
        <w:rPr>
          <w:sz w:val="24"/>
          <w:szCs w:val="24"/>
        </w:rPr>
      </w:pPr>
      <w:r>
        <w:rPr>
          <w:sz w:val="24"/>
          <w:szCs w:val="24"/>
        </w:rPr>
      </w:r>
    </w:p>
    <w:p>
      <w:pPr>
        <w:pStyle w:val="Normal"/>
        <w:ind w:right="431" w:hanging="0"/>
        <w:jc w:val="center"/>
        <w:rPr>
          <w:sz w:val="24"/>
          <w:szCs w:val="24"/>
        </w:rPr>
      </w:pPr>
      <w:r>
        <w:rPr>
          <w:sz w:val="24"/>
          <w:szCs w:val="24"/>
        </w:rPr>
      </w:r>
    </w:p>
    <w:p>
      <w:pPr>
        <w:pStyle w:val="Normal"/>
        <w:suppressLineNumbers/>
        <w:suppressAutoHyphens w:val="true"/>
        <w:ind w:right="431" w:hanging="0"/>
        <w:jc w:val="center"/>
        <w:rPr>
          <w:bCs/>
          <w:color w:val="000000"/>
          <w:sz w:val="24"/>
          <w:szCs w:val="24"/>
        </w:rPr>
      </w:pPr>
      <w:r>
        <w:rPr>
          <w:bCs/>
          <w:color w:val="000000"/>
          <w:sz w:val="24"/>
          <w:szCs w:val="24"/>
        </w:rPr>
        <w:t>Čl. I</w:t>
      </w:r>
    </w:p>
    <w:p>
      <w:pPr>
        <w:pStyle w:val="Normal"/>
        <w:suppressLineNumbers/>
        <w:suppressAutoHyphens w:val="true"/>
        <w:spacing w:before="0" w:after="120"/>
        <w:ind w:right="431" w:hanging="0"/>
        <w:jc w:val="center"/>
        <w:rPr>
          <w:b/>
          <w:b/>
          <w:color w:val="000000"/>
          <w:sz w:val="24"/>
          <w:szCs w:val="24"/>
        </w:rPr>
      </w:pPr>
      <w:r>
        <w:rPr>
          <w:b/>
          <w:color w:val="000000"/>
          <w:sz w:val="24"/>
          <w:szCs w:val="24"/>
        </w:rPr>
        <w:t>Předmět úpravy</w:t>
      </w:r>
    </w:p>
    <w:p>
      <w:pPr>
        <w:pStyle w:val="ListParagraph"/>
        <w:suppressLineNumbers/>
        <w:suppressAutoHyphens w:val="true"/>
        <w:spacing w:before="0" w:after="120"/>
        <w:ind w:left="0" w:right="431" w:hanging="0"/>
        <w:jc w:val="both"/>
        <w:rPr>
          <w:color w:val="000000"/>
          <w:sz w:val="24"/>
          <w:szCs w:val="24"/>
        </w:rPr>
      </w:pPr>
      <w:r>
        <w:rPr>
          <w:sz w:val="24"/>
          <w:szCs w:val="24"/>
        </w:rPr>
        <w:t>Tímto opatřením generální ředitel Národní knihovny (dále jen „</w:t>
      </w:r>
      <w:r>
        <w:rPr>
          <w:b/>
          <w:sz w:val="24"/>
          <w:szCs w:val="24"/>
        </w:rPr>
        <w:t>generální ředitel</w:t>
      </w:r>
      <w:r>
        <w:rPr>
          <w:sz w:val="24"/>
          <w:szCs w:val="24"/>
        </w:rPr>
        <w:t>“ a „</w:t>
      </w:r>
      <w:r>
        <w:rPr>
          <w:b/>
          <w:sz w:val="24"/>
          <w:szCs w:val="24"/>
        </w:rPr>
        <w:t>Národní knihovna</w:t>
      </w:r>
      <w:r>
        <w:rPr>
          <w:sz w:val="24"/>
          <w:szCs w:val="24"/>
        </w:rPr>
        <w:t xml:space="preserve">“) uveřejňuje protikorupční program Národní knihovny (viz příloha) a zároveň ukládá personálnímu řediteli, aby podle aktuálních potřeb prováděl jeho aktualizaci. Po provedení jakékoliv změny protikorupčního programu zajistí personální ředitel uveřejnění nového znění na intranetových a internetových stránek Národní knihovny. </w:t>
      </w:r>
    </w:p>
    <w:p>
      <w:pPr>
        <w:pStyle w:val="Normal"/>
        <w:suppressLineNumbers/>
        <w:suppressAutoHyphens w:val="true"/>
        <w:spacing w:before="0" w:after="60"/>
        <w:ind w:right="431" w:hanging="0"/>
        <w:jc w:val="both"/>
        <w:rPr>
          <w:color w:val="000000"/>
          <w:sz w:val="24"/>
          <w:szCs w:val="24"/>
        </w:rPr>
      </w:pPr>
      <w:r>
        <w:rPr>
          <w:color w:val="000000"/>
          <w:sz w:val="24"/>
          <w:szCs w:val="24"/>
        </w:rPr>
      </w:r>
    </w:p>
    <w:p>
      <w:pPr>
        <w:pStyle w:val="Normal"/>
        <w:suppressLineNumbers/>
        <w:suppressAutoHyphens w:val="true"/>
        <w:ind w:right="431" w:hanging="0"/>
        <w:jc w:val="center"/>
        <w:rPr>
          <w:bCs/>
          <w:color w:val="000000"/>
          <w:sz w:val="24"/>
          <w:szCs w:val="24"/>
        </w:rPr>
      </w:pPr>
      <w:r>
        <w:rPr>
          <w:bCs/>
          <w:color w:val="000000"/>
          <w:sz w:val="24"/>
          <w:szCs w:val="24"/>
        </w:rPr>
        <w:t>Čl. II</w:t>
      </w:r>
    </w:p>
    <w:p>
      <w:pPr>
        <w:pStyle w:val="Normal"/>
        <w:suppressLineNumbers/>
        <w:suppressAutoHyphens w:val="true"/>
        <w:spacing w:before="0" w:after="120"/>
        <w:ind w:right="431" w:hanging="0"/>
        <w:jc w:val="center"/>
        <w:rPr>
          <w:b/>
          <w:b/>
          <w:bCs/>
          <w:color w:val="000000"/>
          <w:sz w:val="24"/>
          <w:szCs w:val="24"/>
        </w:rPr>
      </w:pPr>
      <w:r>
        <w:rPr>
          <w:b/>
          <w:color w:val="000000"/>
          <w:sz w:val="24"/>
          <w:szCs w:val="24"/>
        </w:rPr>
        <w:t>Zrušovací ustanovení</w:t>
      </w:r>
    </w:p>
    <w:p>
      <w:pPr>
        <w:pStyle w:val="TextBody"/>
        <w:spacing w:before="115" w:after="0"/>
        <w:ind w:right="499" w:hanging="0"/>
        <w:jc w:val="both"/>
        <w:rPr/>
      </w:pPr>
      <w:r>
        <w:rPr/>
        <w:t xml:space="preserve">Zrušuje se opatření generálního ředitele č. 9/2018 ze dne 2. 1. 2018 </w:t>
      </w:r>
    </w:p>
    <w:p>
      <w:pPr>
        <w:pStyle w:val="Normal"/>
        <w:suppressLineNumbers/>
        <w:suppressAutoHyphens w:val="true"/>
        <w:spacing w:before="0" w:after="60"/>
        <w:ind w:right="431" w:hanging="0"/>
        <w:jc w:val="both"/>
        <w:rPr>
          <w:color w:val="000000"/>
          <w:sz w:val="24"/>
          <w:szCs w:val="24"/>
        </w:rPr>
      </w:pPr>
      <w:r>
        <w:rPr>
          <w:color w:val="000000"/>
          <w:sz w:val="24"/>
          <w:szCs w:val="24"/>
        </w:rPr>
      </w:r>
    </w:p>
    <w:p>
      <w:pPr>
        <w:pStyle w:val="Normal"/>
        <w:suppressLineNumbers/>
        <w:suppressAutoHyphens w:val="true"/>
        <w:ind w:right="431" w:hanging="0"/>
        <w:jc w:val="center"/>
        <w:rPr>
          <w:bCs/>
          <w:color w:val="000000"/>
          <w:sz w:val="24"/>
          <w:szCs w:val="24"/>
        </w:rPr>
      </w:pPr>
      <w:r>
        <w:rPr>
          <w:bCs/>
          <w:color w:val="000000"/>
          <w:sz w:val="24"/>
          <w:szCs w:val="24"/>
        </w:rPr>
      </w:r>
    </w:p>
    <w:p>
      <w:pPr>
        <w:pStyle w:val="Normal"/>
        <w:suppressLineNumbers/>
        <w:suppressAutoHyphens w:val="true"/>
        <w:ind w:right="431" w:hanging="0"/>
        <w:jc w:val="center"/>
        <w:rPr>
          <w:bCs/>
          <w:color w:val="000000"/>
          <w:sz w:val="24"/>
          <w:szCs w:val="24"/>
        </w:rPr>
      </w:pPr>
      <w:r>
        <w:rPr>
          <w:bCs/>
          <w:color w:val="000000"/>
          <w:sz w:val="24"/>
          <w:szCs w:val="24"/>
        </w:rPr>
        <w:t>Čl. III</w:t>
      </w:r>
    </w:p>
    <w:p>
      <w:pPr>
        <w:pStyle w:val="Normal"/>
        <w:suppressLineNumbers/>
        <w:suppressAutoHyphens w:val="true"/>
        <w:spacing w:before="0" w:after="120"/>
        <w:ind w:right="431" w:hanging="0"/>
        <w:jc w:val="center"/>
        <w:rPr>
          <w:b/>
          <w:b/>
          <w:bCs/>
          <w:color w:val="000000"/>
          <w:sz w:val="24"/>
          <w:szCs w:val="24"/>
        </w:rPr>
      </w:pPr>
      <w:r>
        <w:rPr>
          <w:b/>
          <w:color w:val="000000"/>
          <w:sz w:val="24"/>
          <w:szCs w:val="24"/>
        </w:rPr>
        <w:t>Platnost a účinnost</w:t>
      </w:r>
    </w:p>
    <w:p>
      <w:pPr>
        <w:pStyle w:val="ListParagraph"/>
        <w:suppressLineNumbers/>
        <w:suppressAutoHyphens w:val="true"/>
        <w:spacing w:before="0" w:after="120"/>
        <w:ind w:left="0" w:right="431" w:hanging="0"/>
        <w:jc w:val="both"/>
        <w:rPr>
          <w:sz w:val="24"/>
          <w:szCs w:val="24"/>
        </w:rPr>
      </w:pPr>
      <w:r>
        <w:rPr>
          <w:sz w:val="24"/>
          <w:szCs w:val="24"/>
        </w:rPr>
        <w:t>Toto opatření generálního ředitele nabývá platnosti dnem podpisu generálním ředitelem a účinnosti dnem 1. 8. 2022.</w:t>
      </w:r>
    </w:p>
    <w:p>
      <w:pPr>
        <w:pStyle w:val="NoSpacing"/>
        <w:spacing w:before="0" w:after="120"/>
        <w:ind w:right="431" w:hanging="0"/>
        <w:rPr>
          <w:rFonts w:ascii="Times New Roman" w:hAnsi="Times New Roman" w:cs="Times New Roman"/>
          <w:sz w:val="24"/>
          <w:szCs w:val="24"/>
        </w:rPr>
      </w:pPr>
      <w:r>
        <w:rPr>
          <w:rFonts w:cs="Times New Roman" w:ascii="Times New Roman" w:hAnsi="Times New Roman"/>
          <w:sz w:val="24"/>
          <w:szCs w:val="24"/>
        </w:rPr>
      </w:r>
    </w:p>
    <w:p>
      <w:pPr>
        <w:pStyle w:val="NoSpacing"/>
        <w:ind w:right="431" w:hanging="0"/>
        <w:rPr>
          <w:rFonts w:ascii="Times New Roman" w:hAnsi="Times New Roman" w:cs="Times New Roman"/>
          <w:sz w:val="24"/>
          <w:szCs w:val="24"/>
        </w:rPr>
      </w:pPr>
      <w:r>
        <w:rPr>
          <w:rFonts w:cs="Times New Roman" w:ascii="Times New Roman" w:hAnsi="Times New Roman"/>
          <w:sz w:val="24"/>
          <w:szCs w:val="24"/>
        </w:rPr>
        <w:tab/>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ab/>
        <w:tab/>
        <w:t>V Praze dne 15. 7. 2022</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Mgr. Tomáš Foltýn, v.r.</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generální ředitel</w:t>
      </w:r>
    </w:p>
    <w:p>
      <w:pPr>
        <w:pStyle w:val="Normal"/>
        <w:rPr>
          <w:rFonts w:ascii="Calibri" w:hAnsi="Calibri" w:cs="Calibri" w:asciiTheme="minorHAnsi" w:cstheme="minorHAnsi" w:hAnsiTheme="minorHAnsi"/>
          <w:b/>
          <w:b/>
          <w:sz w:val="48"/>
          <w:szCs w:val="48"/>
        </w:rPr>
      </w:pPr>
      <w:r>
        <w:rPr>
          <w:sz w:val="24"/>
          <w:szCs w:val="24"/>
        </w:rPr>
        <w:t xml:space="preserve">                                                                               </w:t>
      </w:r>
      <w:r>
        <w:rPr>
          <w:sz w:val="24"/>
          <w:szCs w:val="24"/>
        </w:rPr>
        <w:t>Národní knihovna České republiky</w:t>
      </w:r>
    </w:p>
    <w:p>
      <w:pPr>
        <w:pStyle w:val="Normal"/>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jc w:val="center"/>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jc w:val="center"/>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jc w:val="center"/>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jc w:val="center"/>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jc w:val="center"/>
        <w:rPr>
          <w:rFonts w:ascii="Calibri" w:hAnsi="Calibri" w:cs="Calibri" w:asciiTheme="minorHAnsi" w:cstheme="minorHAnsi" w:hAnsiTheme="minorHAnsi"/>
          <w:b/>
          <w:b/>
          <w:sz w:val="48"/>
          <w:szCs w:val="48"/>
        </w:rPr>
      </w:pPr>
      <w:r>
        <w:rPr>
          <w:rFonts w:cs="Calibri" w:cstheme="minorHAnsi" w:ascii="Calibri" w:hAnsi="Calibri"/>
          <w:b/>
          <w:sz w:val="48"/>
          <w:szCs w:val="48"/>
        </w:rPr>
      </w:r>
    </w:p>
    <w:p>
      <w:pPr>
        <w:pStyle w:val="Normal"/>
        <w:ind w:right="431" w:hanging="0"/>
        <w:jc w:val="center"/>
        <w:rPr>
          <w:b/>
          <w:b/>
          <w:sz w:val="48"/>
          <w:szCs w:val="48"/>
        </w:rPr>
      </w:pPr>
      <w:r>
        <w:rPr>
          <w:b/>
          <w:sz w:val="48"/>
          <w:szCs w:val="48"/>
        </w:rPr>
        <w:t>Protikorupční program</w:t>
      </w:r>
    </w:p>
    <w:p>
      <w:pPr>
        <w:pStyle w:val="Normal"/>
        <w:ind w:right="431" w:hanging="0"/>
        <w:jc w:val="center"/>
        <w:rPr>
          <w:b/>
          <w:b/>
          <w:sz w:val="48"/>
          <w:szCs w:val="48"/>
        </w:rPr>
      </w:pPr>
      <w:r>
        <w:rPr>
          <w:b/>
          <w:sz w:val="48"/>
          <w:szCs w:val="48"/>
        </w:rPr>
        <w:t>Národní knihovny České republiky</w:t>
      </w:r>
    </w:p>
    <w:p>
      <w:pPr>
        <w:pStyle w:val="Normal"/>
        <w:rPr>
          <w:rFonts w:ascii="Calibri" w:hAnsi="Calibri" w:cs="Calibri" w:asciiTheme="minorHAnsi" w:cstheme="minorHAnsi" w:hAnsiTheme="minorHAnsi"/>
          <w:szCs w:val="24"/>
        </w:rPr>
      </w:pPr>
      <w:r>
        <w:rPr>
          <w:rFonts w:cs="Calibri" w:cstheme="minorHAnsi" w:ascii="Calibri" w:hAnsi="Calibri"/>
          <w:szCs w:val="24"/>
        </w:rPr>
      </w:r>
      <w:r>
        <w:br w:type="page"/>
      </w:r>
    </w:p>
    <w:p>
      <w:pPr>
        <w:pStyle w:val="Normal"/>
        <w:rPr>
          <w:rFonts w:ascii="Calibri" w:hAnsi="Calibri" w:cs="Calibri" w:asciiTheme="minorHAnsi" w:cstheme="minorHAnsi" w:hAnsiTheme="minorHAnsi"/>
          <w:szCs w:val="24"/>
        </w:rPr>
      </w:pPr>
      <w:r>
        <w:rPr>
          <w:rFonts w:cs="Calibri" w:cstheme="minorHAnsi" w:ascii="Calibri" w:hAnsi="Calibri"/>
          <w:szCs w:val="24"/>
        </w:rPr>
      </w:r>
    </w:p>
    <w:p>
      <w:pPr>
        <w:pStyle w:val="Heading1"/>
        <w:numPr>
          <w:ilvl w:val="0"/>
          <w:numId w:val="7"/>
        </w:numPr>
        <w:tabs>
          <w:tab w:val="clear" w:pos="720"/>
          <w:tab w:val="left" w:pos="426" w:leader="none"/>
        </w:tabs>
        <w:spacing w:before="120" w:after="0"/>
        <w:ind w:left="426" w:hanging="455"/>
        <w:rPr/>
      </w:pPr>
      <w:bookmarkStart w:id="0" w:name="_bookmark0"/>
      <w:bookmarkEnd w:id="0"/>
      <w:r>
        <w:rPr>
          <w:u w:val="thick"/>
        </w:rPr>
        <w:t>ÚVOD</w:t>
      </w:r>
    </w:p>
    <w:p>
      <w:pPr>
        <w:pStyle w:val="TextBody"/>
        <w:spacing w:before="120" w:after="0"/>
        <w:ind w:right="489" w:hanging="0"/>
        <w:jc w:val="both"/>
        <w:rPr/>
      </w:pPr>
      <w:r>
        <w:rPr/>
      </w:r>
    </w:p>
    <w:p>
      <w:pPr>
        <w:pStyle w:val="TextBody"/>
        <w:spacing w:before="120" w:after="0"/>
        <w:ind w:right="489" w:hanging="0"/>
        <w:jc w:val="both"/>
        <w:rPr/>
      </w:pPr>
      <w:r>
        <w:rPr/>
        <w:t xml:space="preserve">Vláda ČR schválila dne 2. října 2013 svým usnesením č. 752 Rámcový rezortní interní protikorupční program (dále jen „RRIPP“), osnovu vycházející z úkolu 6.2.1 Resortní interní protikorupční programy (dále jen „RIPP“) dokumentu Od korupce k integritě - Strategie vlády v boji s korupcí na období let 2013 a 2014 (dále jen „Strategie“), schválený vládou ČR usnesením č. 39 ze dne 16. ledna 2013. RRIPP byl dále aktualizován na základě usnesení vlády ČR č. 1077 ze dne 21. prosince 2015, č. 853 ze dne 29. listopadu 2017 a usnesením vlády č. 769 ze dne 20. listopadu 2018. </w:t>
      </w:r>
    </w:p>
    <w:p>
      <w:pPr>
        <w:pStyle w:val="TextBody"/>
        <w:spacing w:before="120" w:after="0"/>
        <w:ind w:right="489" w:hanging="0"/>
        <w:jc w:val="both"/>
        <w:rPr/>
      </w:pPr>
      <w:r>
        <w:rPr/>
        <w:t>Interní protikorupční program Národní knihovny České republiky (dále jen „NK“) vychází z předchozí verze Interního protikorupčního programu Národní knihovny zpracované v lednu 2018.</w:t>
      </w:r>
    </w:p>
    <w:p>
      <w:pPr>
        <w:pStyle w:val="TextBody"/>
        <w:spacing w:before="120" w:after="0"/>
        <w:ind w:right="489" w:hanging="0"/>
        <w:jc w:val="both"/>
        <w:rPr/>
      </w:pPr>
      <w:r>
        <w:rPr/>
        <w:t xml:space="preserve">Interní protikorupční program NK vychází z Příkazu ministra a kultury č. 11/2016 ze dne 4. dubna 2016 a usnesení vlády České republiky č. 1077 ze dne 21. prosince 2015. Odpovídá vnitřním předpisům NK a obecně závazným právním předpisům. </w:t>
      </w:r>
    </w:p>
    <w:p>
      <w:pPr>
        <w:pStyle w:val="TextBody"/>
        <w:spacing w:before="120" w:after="0"/>
        <w:ind w:right="489" w:hanging="0"/>
        <w:jc w:val="both"/>
        <w:rPr/>
      </w:pPr>
      <w:r>
        <w:rPr/>
        <w:t>Interní protikorupční program NK obsahuje pět základních částí, které jsou dále rozpracovány do dílčích oblastí:</w:t>
      </w:r>
    </w:p>
    <w:p>
      <w:pPr>
        <w:pStyle w:val="TextBody"/>
        <w:rPr>
          <w:sz w:val="20"/>
        </w:rPr>
      </w:pPr>
      <w:r>
        <w:rPr>
          <w:sz w:val="20"/>
        </w:rPr>
      </w:r>
    </w:p>
    <w:p>
      <w:pPr>
        <w:pStyle w:val="TextBody"/>
        <w:spacing w:before="7" w:after="0"/>
        <w:rPr>
          <w:sz w:val="20"/>
        </w:rPr>
      </w:pPr>
      <w:r>
        <w:rPr>
          <w:sz w:val="20"/>
        </w:rPr>
      </w:r>
    </w:p>
    <w:p>
      <w:pPr>
        <w:sectPr>
          <w:headerReference w:type="default" r:id="rId2"/>
          <w:footerReference w:type="default" r:id="rId3"/>
          <w:type w:val="nextPage"/>
          <w:pgSz w:w="11906" w:h="16838"/>
          <w:pgMar w:left="1200" w:right="640" w:gutter="0" w:header="677" w:top="1280" w:footer="816" w:bottom="1000"/>
          <w:pgNumType w:fmt="decimal"/>
          <w:formProt w:val="false"/>
          <w:textDirection w:val="lrTb"/>
          <w:docGrid w:type="default" w:linePitch="100" w:charSpace="4096"/>
        </w:sectPr>
      </w:pPr>
    </w:p>
    <w:p>
      <w:pPr>
        <w:pStyle w:val="ListParagraph"/>
        <w:numPr>
          <w:ilvl w:val="1"/>
          <w:numId w:val="7"/>
        </w:numPr>
        <w:tabs>
          <w:tab w:val="clear" w:pos="720"/>
          <w:tab w:val="left" w:pos="1294" w:leader="none"/>
        </w:tabs>
        <w:spacing w:before="120" w:after="0"/>
        <w:ind w:left="1246" w:right="177" w:hanging="142"/>
        <w:rPr>
          <w:rFonts w:ascii="Arial" w:hAnsi="Arial"/>
          <w:b/>
          <w:b/>
          <w:sz w:val="17"/>
        </w:rPr>
      </w:pPr>
      <w:r>
        <mc:AlternateContent>
          <mc:Choice Requires="wpg">
            <w:drawing>
              <wp:anchor behindDoc="1" distT="0" distB="0" distL="0" distR="0" simplePos="0" locked="0" layoutInCell="0" allowOverlap="1" relativeHeight="11" wp14:anchorId="2A677FE9">
                <wp:simplePos x="0" y="0"/>
                <wp:positionH relativeFrom="page">
                  <wp:posOffset>1076960</wp:posOffset>
                </wp:positionH>
                <wp:positionV relativeFrom="paragraph">
                  <wp:posOffset>-47625</wp:posOffset>
                </wp:positionV>
                <wp:extent cx="5663565" cy="805815"/>
                <wp:effectExtent l="0" t="0" r="0" b="0"/>
                <wp:wrapNone/>
                <wp:docPr id="3" name="Group 11"/>
                <a:graphic xmlns:a="http://schemas.openxmlformats.org/drawingml/2006/main">
                  <a:graphicData uri="http://schemas.microsoft.com/office/word/2010/wordprocessingGroup">
                    <wpg:wgp>
                      <wpg:cNvGrpSpPr/>
                      <wpg:grpSpPr>
                        <a:xfrm>
                          <a:off x="0" y="0"/>
                          <a:ext cx="5662800" cy="805320"/>
                          <a:chOff x="1077120" y="-47520"/>
                          <a:chExt cx="5662800" cy="805320"/>
                        </a:xfrm>
                      </wpg:grpSpPr>
                      <wps:wsp>
                        <wps:cNvSpPr/>
                        <wps:spPr>
                          <a:xfrm>
                            <a:off x="0" y="0"/>
                            <a:ext cx="1445400" cy="805320"/>
                          </a:xfrm>
                          <a:custGeom>
                            <a:avLst/>
                            <a:gdLst/>
                            <a:ahLst/>
                            <a:rect l="l" t="t" r="r" b="b"/>
                            <a:pathLst>
                              <a:path w="2273" h="1253">
                                <a:moveTo>
                                  <a:pt x="1705" y="0"/>
                                </a:moveTo>
                                <a:lnTo>
                                  <a:pt x="0" y="0"/>
                                </a:lnTo>
                                <a:lnTo>
                                  <a:pt x="568" y="627"/>
                                </a:lnTo>
                                <a:lnTo>
                                  <a:pt x="0" y="1253"/>
                                </a:lnTo>
                                <a:lnTo>
                                  <a:pt x="1705" y="1253"/>
                                </a:lnTo>
                                <a:lnTo>
                                  <a:pt x="2273" y="627"/>
                                </a:lnTo>
                                <a:lnTo>
                                  <a:pt x="1705" y="0"/>
                                </a:lnTo>
                                <a:close/>
                              </a:path>
                            </a:pathLst>
                          </a:custGeom>
                          <a:noFill/>
                          <a:ln w="9525">
                            <a:solidFill>
                              <a:srgbClr val="000000"/>
                            </a:solidFill>
                            <a:round/>
                          </a:ln>
                        </wps:spPr>
                        <wps:style>
                          <a:lnRef idx="0"/>
                          <a:fillRef idx="0"/>
                          <a:effectRef idx="0"/>
                          <a:fontRef idx="minor"/>
                        </wps:style>
                        <wps:bodyPr/>
                      </wps:wsp>
                      <wps:wsp>
                        <wps:cNvSpPr/>
                        <wps:spPr>
                          <a:xfrm>
                            <a:off x="1405800" y="0"/>
                            <a:ext cx="1445400" cy="805320"/>
                          </a:xfrm>
                          <a:custGeom>
                            <a:avLst/>
                            <a:gdLst/>
                            <a:ahLst/>
                            <a:rect l="l" t="t" r="r" b="b"/>
                            <a:pathLst>
                              <a:path w="2273" h="1253">
                                <a:moveTo>
                                  <a:pt x="1705" y="0"/>
                                </a:moveTo>
                                <a:lnTo>
                                  <a:pt x="0" y="0"/>
                                </a:lnTo>
                                <a:lnTo>
                                  <a:pt x="568" y="627"/>
                                </a:lnTo>
                                <a:lnTo>
                                  <a:pt x="0" y="1253"/>
                                </a:lnTo>
                                <a:lnTo>
                                  <a:pt x="1705" y="1253"/>
                                </a:lnTo>
                                <a:lnTo>
                                  <a:pt x="2273" y="627"/>
                                </a:lnTo>
                                <a:lnTo>
                                  <a:pt x="1705" y="0"/>
                                </a:lnTo>
                                <a:close/>
                              </a:path>
                            </a:pathLst>
                          </a:custGeom>
                          <a:solidFill>
                            <a:srgbClr val="ffffff"/>
                          </a:solidFill>
                          <a:ln w="0">
                            <a:noFill/>
                          </a:ln>
                        </wps:spPr>
                        <wps:style>
                          <a:lnRef idx="0"/>
                          <a:fillRef idx="0"/>
                          <a:effectRef idx="0"/>
                          <a:fontRef idx="minor"/>
                        </wps:style>
                        <wps:bodyPr/>
                      </wps:wsp>
                      <wps:wsp>
                        <wps:cNvSpPr/>
                        <wps:spPr>
                          <a:xfrm>
                            <a:off x="1405800" y="0"/>
                            <a:ext cx="1445400" cy="805320"/>
                          </a:xfrm>
                          <a:custGeom>
                            <a:avLst/>
                            <a:gdLst/>
                            <a:ahLst/>
                            <a:rect l="l" t="t" r="r" b="b"/>
                            <a:pathLst>
                              <a:path w="2273" h="1253">
                                <a:moveTo>
                                  <a:pt x="1705" y="0"/>
                                </a:moveTo>
                                <a:lnTo>
                                  <a:pt x="0" y="0"/>
                                </a:lnTo>
                                <a:lnTo>
                                  <a:pt x="568" y="627"/>
                                </a:lnTo>
                                <a:lnTo>
                                  <a:pt x="0" y="1253"/>
                                </a:lnTo>
                                <a:lnTo>
                                  <a:pt x="1705" y="1253"/>
                                </a:lnTo>
                                <a:lnTo>
                                  <a:pt x="2273" y="627"/>
                                </a:lnTo>
                                <a:lnTo>
                                  <a:pt x="1705" y="0"/>
                                </a:lnTo>
                                <a:close/>
                              </a:path>
                            </a:pathLst>
                          </a:custGeom>
                          <a:noFill/>
                          <a:ln w="9525">
                            <a:solidFill>
                              <a:srgbClr val="000000"/>
                            </a:solidFill>
                            <a:round/>
                          </a:ln>
                        </wps:spPr>
                        <wps:style>
                          <a:lnRef idx="0"/>
                          <a:fillRef idx="0"/>
                          <a:effectRef idx="0"/>
                          <a:fontRef idx="minor"/>
                        </wps:style>
                        <wps:bodyPr/>
                      </wps:wsp>
                      <wps:wsp>
                        <wps:cNvSpPr/>
                        <wps:spPr>
                          <a:xfrm>
                            <a:off x="2811960" y="0"/>
                            <a:ext cx="1445400" cy="805320"/>
                          </a:xfrm>
                          <a:custGeom>
                            <a:avLst/>
                            <a:gdLst/>
                            <a:ahLst/>
                            <a:rect l="l" t="t" r="r" b="b"/>
                            <a:pathLst>
                              <a:path w="2273" h="1253">
                                <a:moveTo>
                                  <a:pt x="1705" y="0"/>
                                </a:moveTo>
                                <a:lnTo>
                                  <a:pt x="0" y="0"/>
                                </a:lnTo>
                                <a:lnTo>
                                  <a:pt x="568" y="627"/>
                                </a:lnTo>
                                <a:lnTo>
                                  <a:pt x="0" y="1253"/>
                                </a:lnTo>
                                <a:lnTo>
                                  <a:pt x="1705" y="1253"/>
                                </a:lnTo>
                                <a:lnTo>
                                  <a:pt x="2273" y="627"/>
                                </a:lnTo>
                                <a:lnTo>
                                  <a:pt x="1705" y="0"/>
                                </a:lnTo>
                                <a:close/>
                              </a:path>
                            </a:pathLst>
                          </a:custGeom>
                          <a:solidFill>
                            <a:srgbClr val="ffffff"/>
                          </a:solidFill>
                          <a:ln w="0">
                            <a:noFill/>
                          </a:ln>
                        </wps:spPr>
                        <wps:style>
                          <a:lnRef idx="0"/>
                          <a:fillRef idx="0"/>
                          <a:effectRef idx="0"/>
                          <a:fontRef idx="minor"/>
                        </wps:style>
                        <wps:bodyPr/>
                      </wps:wsp>
                      <wps:wsp>
                        <wps:cNvSpPr/>
                        <wps:spPr>
                          <a:xfrm>
                            <a:off x="2811960" y="0"/>
                            <a:ext cx="1445400" cy="805320"/>
                          </a:xfrm>
                          <a:custGeom>
                            <a:avLst/>
                            <a:gdLst/>
                            <a:ahLst/>
                            <a:rect l="l" t="t" r="r" b="b"/>
                            <a:pathLst>
                              <a:path w="2273" h="1253">
                                <a:moveTo>
                                  <a:pt x="1705" y="0"/>
                                </a:moveTo>
                                <a:lnTo>
                                  <a:pt x="0" y="0"/>
                                </a:lnTo>
                                <a:lnTo>
                                  <a:pt x="568" y="627"/>
                                </a:lnTo>
                                <a:lnTo>
                                  <a:pt x="0" y="1253"/>
                                </a:lnTo>
                                <a:lnTo>
                                  <a:pt x="1705" y="1253"/>
                                </a:lnTo>
                                <a:lnTo>
                                  <a:pt x="2273" y="627"/>
                                </a:lnTo>
                                <a:lnTo>
                                  <a:pt x="1705" y="0"/>
                                </a:lnTo>
                                <a:close/>
                              </a:path>
                            </a:pathLst>
                          </a:custGeom>
                          <a:noFill/>
                          <a:ln w="9525">
                            <a:solidFill>
                              <a:srgbClr val="000000"/>
                            </a:solidFill>
                            <a:round/>
                          </a:ln>
                        </wps:spPr>
                        <wps:style>
                          <a:lnRef idx="0"/>
                          <a:fillRef idx="0"/>
                          <a:effectRef idx="0"/>
                          <a:fontRef idx="minor"/>
                        </wps:style>
                        <wps:bodyPr/>
                      </wps:wsp>
                      <wps:wsp>
                        <wps:cNvSpPr/>
                        <wps:spPr>
                          <a:xfrm>
                            <a:off x="4217760" y="0"/>
                            <a:ext cx="1445400" cy="805320"/>
                          </a:xfrm>
                          <a:custGeom>
                            <a:avLst/>
                            <a:gdLst/>
                            <a:ahLst/>
                            <a:rect l="l" t="t" r="r" b="b"/>
                            <a:pathLst>
                              <a:path w="2273" h="1253">
                                <a:moveTo>
                                  <a:pt x="1705" y="0"/>
                                </a:moveTo>
                                <a:lnTo>
                                  <a:pt x="0" y="0"/>
                                </a:lnTo>
                                <a:lnTo>
                                  <a:pt x="568" y="627"/>
                                </a:lnTo>
                                <a:lnTo>
                                  <a:pt x="0" y="1253"/>
                                </a:lnTo>
                                <a:lnTo>
                                  <a:pt x="1705" y="1253"/>
                                </a:lnTo>
                                <a:lnTo>
                                  <a:pt x="2273" y="627"/>
                                </a:lnTo>
                                <a:lnTo>
                                  <a:pt x="1705" y="0"/>
                                </a:lnTo>
                                <a:close/>
                              </a:path>
                            </a:pathLst>
                          </a:custGeom>
                          <a:solidFill>
                            <a:srgbClr val="ffffff"/>
                          </a:solidFill>
                          <a:ln w="0">
                            <a:noFill/>
                          </a:ln>
                        </wps:spPr>
                        <wps:style>
                          <a:lnRef idx="0"/>
                          <a:fillRef idx="0"/>
                          <a:effectRef idx="0"/>
                          <a:fontRef idx="minor"/>
                        </wps:style>
                        <wps:bodyPr/>
                      </wps:wsp>
                      <wps:wsp>
                        <wps:cNvSpPr/>
                        <wps:spPr>
                          <a:xfrm>
                            <a:off x="4217760" y="0"/>
                            <a:ext cx="1445400" cy="805320"/>
                          </a:xfrm>
                          <a:custGeom>
                            <a:avLst/>
                            <a:gdLst/>
                            <a:ahLst/>
                            <a:rect l="l" t="t" r="r" b="b"/>
                            <a:pathLst>
                              <a:path w="2273" h="1253">
                                <a:moveTo>
                                  <a:pt x="1705" y="0"/>
                                </a:moveTo>
                                <a:lnTo>
                                  <a:pt x="0" y="0"/>
                                </a:lnTo>
                                <a:lnTo>
                                  <a:pt x="568" y="627"/>
                                </a:lnTo>
                                <a:lnTo>
                                  <a:pt x="0" y="1253"/>
                                </a:lnTo>
                                <a:lnTo>
                                  <a:pt x="1705" y="1253"/>
                                </a:lnTo>
                                <a:lnTo>
                                  <a:pt x="2273" y="627"/>
                                </a:lnTo>
                                <a:lnTo>
                                  <a:pt x="1705" y="0"/>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Group 11" style="position:absolute;margin-left:84.8pt;margin-top:-3.75pt;width:445.9pt;height:63.4pt" coordorigin="1696,-75" coordsize="8918,1268"/>
            </w:pict>
          </mc:Fallback>
        </mc:AlternateContent>
      </w:r>
      <w:r>
        <w:rPr>
          <w:rFonts w:ascii="Arial" w:hAnsi="Arial"/>
          <w:b/>
          <w:sz w:val="17"/>
        </w:rPr>
        <w:t>Vytváření  a</w:t>
      </w:r>
      <w:r>
        <w:rPr>
          <w:rFonts w:ascii="Arial" w:hAnsi="Arial"/>
          <w:b/>
          <w:spacing w:val="6"/>
          <w:sz w:val="17"/>
        </w:rPr>
        <w:t xml:space="preserve"> </w:t>
      </w:r>
      <w:r>
        <w:rPr>
          <w:rFonts w:ascii="Arial" w:hAnsi="Arial"/>
          <w:b/>
          <w:spacing w:val="-3"/>
          <w:sz w:val="17"/>
        </w:rPr>
        <w:t>posilování</w:t>
      </w:r>
    </w:p>
    <w:p>
      <w:pPr>
        <w:pStyle w:val="Normal"/>
        <w:spacing w:lineRule="exact" w:line="178"/>
        <w:ind w:left="1104" w:hanging="0"/>
        <w:rPr>
          <w:rFonts w:ascii="Arial" w:hAnsi="Arial"/>
          <w:b/>
          <w:b/>
          <w:sz w:val="17"/>
        </w:rPr>
      </w:pPr>
      <w:r>
        <w:rPr>
          <w:rFonts w:ascii="Arial" w:hAnsi="Arial"/>
          <w:b/>
          <w:spacing w:val="-1"/>
          <w:sz w:val="17"/>
        </w:rPr>
        <w:t>protikorupčního</w:t>
      </w:r>
    </w:p>
    <w:p>
      <w:pPr>
        <w:pStyle w:val="Normal"/>
        <w:spacing w:lineRule="exact" w:line="181"/>
        <w:ind w:left="1104" w:hanging="0"/>
        <w:rPr>
          <w:rFonts w:ascii="Arial" w:hAnsi="Arial"/>
          <w:b/>
          <w:b/>
          <w:sz w:val="17"/>
        </w:rPr>
      </w:pPr>
      <w:r>
        <w:rPr>
          <w:rFonts w:ascii="Arial" w:hAnsi="Arial"/>
          <w:b/>
          <w:sz w:val="17"/>
        </w:rPr>
        <w:t>klimatu</w:t>
      </w:r>
    </w:p>
    <w:p>
      <w:pPr>
        <w:pStyle w:val="TextBody"/>
        <w:rPr>
          <w:rFonts w:ascii="Arial" w:hAnsi="Arial"/>
          <w:b/>
          <w:b/>
          <w:sz w:val="19"/>
        </w:rPr>
      </w:pPr>
      <w:r>
        <w:br w:type="column"/>
      </w:r>
      <w:r>
        <w:rPr>
          <w:rFonts w:ascii="Arial" w:hAnsi="Arial"/>
          <w:b/>
          <w:sz w:val="19"/>
        </w:rPr>
      </w:r>
    </w:p>
    <w:p>
      <w:pPr>
        <w:pStyle w:val="Normal"/>
        <w:spacing w:lineRule="exact" w:line="195"/>
        <w:ind w:left="886" w:hanging="0"/>
        <w:rPr>
          <w:rFonts w:ascii="Arial" w:hAnsi="Arial"/>
          <w:b/>
          <w:b/>
          <w:sz w:val="17"/>
        </w:rPr>
      </w:pPr>
      <w:r>
        <w:rPr>
          <w:rFonts w:ascii="Arial" w:hAnsi="Arial"/>
          <w:b/>
          <w:sz w:val="17"/>
        </w:rPr>
        <w:t>2.</w:t>
      </w:r>
    </w:p>
    <w:p>
      <w:pPr>
        <w:pStyle w:val="Normal"/>
        <w:spacing w:lineRule="exact" w:line="195"/>
        <w:ind w:left="886" w:hanging="0"/>
        <w:rPr>
          <w:rFonts w:ascii="Arial" w:hAnsi="Arial"/>
          <w:b/>
          <w:b/>
          <w:sz w:val="17"/>
        </w:rPr>
      </w:pPr>
      <w:r>
        <w:rPr>
          <w:rFonts w:ascii="Arial" w:hAnsi="Arial"/>
          <w:b/>
          <w:spacing w:val="-1"/>
          <w:sz w:val="17"/>
        </w:rPr>
        <w:t>Transparentnost</w:t>
      </w:r>
    </w:p>
    <w:p>
      <w:pPr>
        <w:pStyle w:val="ListParagraph"/>
        <w:numPr>
          <w:ilvl w:val="0"/>
          <w:numId w:val="6"/>
        </w:numPr>
        <w:tabs>
          <w:tab w:val="clear" w:pos="720"/>
          <w:tab w:val="left" w:pos="1028" w:leader="none"/>
        </w:tabs>
        <w:spacing w:lineRule="auto" w:line="218" w:before="135" w:after="0"/>
        <w:ind w:left="1634" w:hanging="0"/>
        <w:jc w:val="left"/>
        <w:rPr>
          <w:rFonts w:ascii="Arial" w:hAnsi="Arial"/>
          <w:b/>
          <w:b/>
          <w:sz w:val="17"/>
        </w:rPr>
      </w:pPr>
      <w:r>
        <w:br w:type="column"/>
      </w:r>
      <w:r>
        <w:rPr>
          <w:rFonts w:ascii="Arial" w:hAnsi="Arial"/>
          <w:b/>
          <w:sz w:val="17"/>
        </w:rPr>
        <w:t xml:space="preserve">Řízení korupčních </w:t>
      </w:r>
      <w:r>
        <w:rPr>
          <w:rFonts w:ascii="Arial" w:hAnsi="Arial"/>
          <w:b/>
          <w:spacing w:val="-3"/>
          <w:sz w:val="17"/>
        </w:rPr>
        <w:t xml:space="preserve">rizik </w:t>
      </w:r>
      <w:r>
        <w:rPr>
          <w:rFonts w:ascii="Arial" w:hAnsi="Arial"/>
          <w:b/>
          <w:sz w:val="17"/>
        </w:rPr>
        <w:t>a</w:t>
      </w:r>
      <w:r>
        <w:rPr>
          <w:rFonts w:ascii="Arial" w:hAnsi="Arial"/>
          <w:b/>
          <w:spacing w:val="-2"/>
          <w:sz w:val="17"/>
        </w:rPr>
        <w:t xml:space="preserve"> </w:t>
      </w:r>
      <w:r>
        <w:rPr>
          <w:rFonts w:ascii="Arial" w:hAnsi="Arial"/>
          <w:b/>
          <w:sz w:val="17"/>
        </w:rPr>
        <w:t>monitoring</w:t>
      </w:r>
    </w:p>
    <w:p>
      <w:pPr>
        <w:pStyle w:val="Normal"/>
        <w:spacing w:before="6" w:after="0"/>
        <w:ind w:left="840" w:hanging="0"/>
        <w:rPr>
          <w:rFonts w:ascii="Arial" w:hAnsi="Arial"/>
          <w:b/>
          <w:b/>
          <w:sz w:val="17"/>
        </w:rPr>
      </w:pPr>
      <w:r>
        <w:rPr>
          <w:rFonts w:ascii="Arial" w:hAnsi="Arial"/>
          <w:b/>
          <w:sz w:val="17"/>
        </w:rPr>
        <w:t>kontrol</w:t>
      </w:r>
    </w:p>
    <w:p>
      <w:pPr>
        <w:pStyle w:val="TextBody"/>
        <w:spacing w:before="7" w:after="0"/>
        <w:rPr>
          <w:rFonts w:ascii="Arial" w:hAnsi="Arial"/>
          <w:b/>
          <w:b/>
          <w:sz w:val="22"/>
        </w:rPr>
      </w:pPr>
      <w:r>
        <w:br w:type="column"/>
      </w:r>
      <w:r>
        <w:rPr>
          <w:rFonts w:ascii="Arial" w:hAnsi="Arial"/>
          <w:b/>
          <w:sz w:val="22"/>
        </w:rPr>
      </w:r>
    </w:p>
    <w:p>
      <w:pPr>
        <w:pStyle w:val="ListParagraph"/>
        <w:numPr>
          <w:ilvl w:val="0"/>
          <w:numId w:val="6"/>
        </w:numPr>
        <w:tabs>
          <w:tab w:val="clear" w:pos="720"/>
          <w:tab w:val="left" w:pos="1114" w:leader="none"/>
        </w:tabs>
        <w:spacing w:lineRule="auto" w:line="218"/>
        <w:ind w:left="922" w:right="1122" w:hanging="0"/>
        <w:jc w:val="left"/>
        <w:rPr>
          <w:rFonts w:ascii="Arial" w:hAnsi="Arial"/>
          <w:b/>
          <w:b/>
          <w:sz w:val="17"/>
        </w:rPr>
      </w:pPr>
      <w:r>
        <w:rPr>
          <w:rFonts w:ascii="Arial" w:hAnsi="Arial"/>
          <w:b/>
          <w:sz w:val="17"/>
        </w:rPr>
        <w:t xml:space="preserve">Postupy </w:t>
      </w:r>
      <w:r>
        <w:rPr>
          <w:rFonts w:ascii="Arial" w:hAnsi="Arial"/>
          <w:b/>
          <w:spacing w:val="-6"/>
          <w:sz w:val="17"/>
        </w:rPr>
        <w:t xml:space="preserve">při </w:t>
      </w:r>
      <w:r>
        <w:rPr>
          <w:rFonts w:ascii="Arial" w:hAnsi="Arial"/>
          <w:b/>
          <w:sz w:val="17"/>
        </w:rPr>
        <w:t>podezření na korupci</w:t>
      </w:r>
    </w:p>
    <w:p>
      <w:pPr>
        <w:sectPr>
          <w:type w:val="continuous"/>
          <w:pgSz w:w="11906" w:h="16838"/>
          <w:pgMar w:left="1200" w:right="640" w:gutter="0" w:header="677" w:top="1280" w:footer="816" w:bottom="1000"/>
          <w:cols w:num="4" w:equalWidth="false" w:sep="false">
            <w:col w:w="2404" w:space="40"/>
            <w:col w:w="2224" w:space="38"/>
            <w:col w:w="2146" w:space="38"/>
            <w:col w:w="3174"/>
          </w:cols>
          <w:formProt w:val="false"/>
          <w:textDirection w:val="lrTb"/>
          <w:docGrid w:type="default" w:linePitch="100" w:charSpace="4096"/>
        </w:sectPr>
      </w:pPr>
    </w:p>
    <w:p>
      <w:pPr>
        <w:pStyle w:val="TextBody"/>
        <w:rPr>
          <w:rFonts w:ascii="Arial" w:hAnsi="Arial"/>
          <w:b/>
          <w:b/>
          <w:sz w:val="20"/>
        </w:rPr>
      </w:pPr>
      <w:r>
        <w:rPr>
          <w:rFonts w:ascii="Arial" w:hAnsi="Arial"/>
          <w:b/>
          <w:sz w:val="20"/>
        </w:rPr>
      </w:r>
    </w:p>
    <w:p>
      <w:pPr>
        <w:pStyle w:val="TextBody"/>
        <w:rPr>
          <w:rFonts w:ascii="Arial" w:hAnsi="Arial"/>
          <w:b/>
          <w:b/>
          <w:sz w:val="23"/>
        </w:rPr>
      </w:pPr>
      <w:r>
        <w:rPr>
          <w:rFonts w:ascii="Arial" w:hAnsi="Arial"/>
          <w:b/>
          <w:sz w:val="23"/>
        </w:rPr>
      </w:r>
    </w:p>
    <w:p>
      <w:pPr>
        <w:pStyle w:val="TextBody"/>
        <w:ind w:left="545" w:hanging="0"/>
        <w:rPr>
          <w:rFonts w:ascii="Arial" w:hAnsi="Arial"/>
          <w:sz w:val="20"/>
        </w:rPr>
      </w:pPr>
      <w:r>
        <w:rPr/>
        <mc:AlternateContent>
          <mc:Choice Requires="wpg">
            <w:drawing>
              <wp:inline distT="635" distB="8890" distL="47625" distR="28575" wp14:anchorId="05752A4B">
                <wp:extent cx="5610860" cy="581660"/>
                <wp:effectExtent l="47625" t="635" r="28575" b="8890"/>
                <wp:docPr id="4" name="Shape3"/>
                <a:graphic xmlns:a="http://schemas.openxmlformats.org/drawingml/2006/main">
                  <a:graphicData uri="http://schemas.microsoft.com/office/word/2010/wordprocessingGroup">
                    <wpg:wgp>
                      <wpg:cNvGrpSpPr/>
                      <wpg:grpSpPr>
                        <a:xfrm>
                          <a:off x="0" y="0"/>
                          <a:ext cx="5610240" cy="581040"/>
                          <a:chOff x="0" y="-591120"/>
                          <a:chExt cx="5610240" cy="581040"/>
                        </a:xfrm>
                      </wpg:grpSpPr>
                      <wps:wsp>
                        <wps:cNvSpPr/>
                        <wps:spPr>
                          <a:xfrm>
                            <a:off x="4320" y="4320"/>
                            <a:ext cx="5600880" cy="571680"/>
                          </a:xfrm>
                          <a:custGeom>
                            <a:avLst/>
                            <a:gdLst/>
                            <a:ahLst/>
                            <a:rect l="l" t="t" r="r" b="b"/>
                            <a:pathLst>
                              <a:path w="8820" h="900">
                                <a:moveTo>
                                  <a:pt x="6614" y="0"/>
                                </a:moveTo>
                                <a:lnTo>
                                  <a:pt x="0" y="0"/>
                                </a:lnTo>
                                <a:lnTo>
                                  <a:pt x="2204" y="450"/>
                                </a:lnTo>
                                <a:lnTo>
                                  <a:pt x="0" y="900"/>
                                </a:lnTo>
                                <a:lnTo>
                                  <a:pt x="6614" y="900"/>
                                </a:lnTo>
                                <a:lnTo>
                                  <a:pt x="8820" y="450"/>
                                </a:lnTo>
                                <a:lnTo>
                                  <a:pt x="6614" y="0"/>
                                </a:lnTo>
                                <a:close/>
                              </a:path>
                            </a:pathLst>
                          </a:custGeom>
                          <a:noFill/>
                          <a:ln w="9525">
                            <a:solidFill>
                              <a:srgbClr val="000000"/>
                            </a:solidFill>
                            <a:round/>
                          </a:ln>
                        </wps:spPr>
                        <wps:style>
                          <a:lnRef idx="0"/>
                          <a:fillRef idx="0"/>
                          <a:effectRef idx="0"/>
                          <a:fontRef idx="minor"/>
                        </wps:style>
                        <wps:bodyPr/>
                      </wps:wsp>
                      <wps:wsp>
                        <wps:cNvSpPr/>
                        <wps:spPr>
                          <a:xfrm>
                            <a:off x="0" y="0"/>
                            <a:ext cx="5610240" cy="581040"/>
                          </a:xfrm>
                          <a:prstGeom prst="rect">
                            <a:avLst/>
                          </a:prstGeom>
                          <a:noFill/>
                          <a:ln w="0">
                            <a:noFill/>
                          </a:ln>
                        </wps:spPr>
                        <wps:style>
                          <a:lnRef idx="0"/>
                          <a:fillRef idx="0"/>
                          <a:effectRef idx="0"/>
                          <a:fontRef idx="minor"/>
                        </wps:style>
                        <wps:txbx>
                          <w:txbxContent>
                            <w:p>
                              <w:pPr>
                                <w:overflowPunct w:val="false"/>
                                <w:spacing w:before="4" w:after="0" w:lineRule="auto" w:line="240"/>
                                <w:jc w:val="left"/>
                                <w:rPr/>
                              </w:pPr>
                              <w:r>
                                <w:rPr>
                                  <w:sz w:val="22"/>
                                  <w:rFonts w:ascii="Calibri" w:hAnsi="Calibri" w:eastAsia="Calibri" w:cs=""/>
                                  <w:lang w:val="en-US" w:eastAsia="en-US" w:bidi="ar-SA"/>
                                </w:rPr>
                              </w:r>
                            </w:p>
                            <w:p>
                              <w:pPr>
                                <w:overflowPunct w:val="false"/>
                                <w:spacing w:before="0" w:after="0" w:lineRule="auto" w:line="240"/>
                                <w:jc w:val="left"/>
                                <w:rPr/>
                              </w:pPr>
                              <w:r>
                                <w:rPr>
                                  <w:spacing w:val="0"/>
                                  <w:smallCaps w:val="false"/>
                                  <w:caps w:val="false"/>
                                  <w:iCs w:val="false"/>
                                  <w:bCs/>
                                  <w:szCs w:val="17"/>
                                  <w:vertAlign w:val="baseline"/>
                                  <w:position w:val="0"/>
                                  <w:sz w:val="17"/>
                                  <w:i w:val="false"/>
                                  <w:dstrike w:val="false"/>
                                  <w:strike w:val="false"/>
                                  <w:u w:val="none"/>
                                  <w:b/>
                                  <w:sz w:val="17"/>
                                  <w:rFonts w:eastAsia="Calibri" w:cs="" w:ascii="Arial" w:hAnsi="Arial"/>
                                  <w:color w:val="auto"/>
                                  <w:lang w:val="en-US" w:eastAsia="en-US" w:bidi="ar-SA"/>
                                </w:rPr>
                                <w:t>5. Vyhodnocování interního protikorupčního programu</w:t>
                              </w:r>
                            </w:p>
                          </w:txbxContent>
                        </wps:txbx>
                        <wps:bodyPr lIns="0" rIns="0" tIns="0" bIns="0" anchor="t" upright="1">
                          <a:noAutofit/>
                        </wps:bodyPr>
                      </wps:wsp>
                    </wpg:wgp>
                  </a:graphicData>
                </a:graphic>
              </wp:inline>
            </w:drawing>
          </mc:Choice>
          <mc:Fallback>
            <w:pict>
              <v:group id="shape_0" alt="Shape3" style="position:absolute;margin-left:0pt;margin-top:-46.55pt;width:441.75pt;height:45.75pt" coordorigin="0,-931" coordsize="8835,915">
                <v:rect id="shape_0" ID="Text Box 9" path="m0,0l-2147483645,0l-2147483645,-2147483646l0,-2147483646xe" stroked="f" o:allowincell="f" style="position:absolute;left:0;top:-931;width:8834;height:914;mso-wrap-style:square;v-text-anchor:top;mso-position-vertical:top">
                  <v:textbox>
                    <w:txbxContent>
                      <w:p>
                        <w:pPr>
                          <w:overflowPunct w:val="false"/>
                          <w:spacing w:before="4" w:after="0" w:lineRule="auto" w:line="240"/>
                          <w:jc w:val="left"/>
                          <w:rPr/>
                        </w:pPr>
                        <w:r>
                          <w:rPr>
                            <w:sz w:val="22"/>
                            <w:rFonts w:ascii="Calibri" w:hAnsi="Calibri" w:eastAsia="Calibri" w:cs=""/>
                            <w:lang w:val="en-US" w:eastAsia="en-US" w:bidi="ar-SA"/>
                          </w:rPr>
                        </w:r>
                      </w:p>
                      <w:p>
                        <w:pPr>
                          <w:overflowPunct w:val="false"/>
                          <w:spacing w:before="0" w:after="0" w:lineRule="auto" w:line="240"/>
                          <w:jc w:val="left"/>
                          <w:rPr/>
                        </w:pPr>
                        <w:r>
                          <w:rPr>
                            <w:spacing w:val="0"/>
                            <w:smallCaps w:val="false"/>
                            <w:caps w:val="false"/>
                            <w:iCs w:val="false"/>
                            <w:bCs/>
                            <w:szCs w:val="17"/>
                            <w:vertAlign w:val="baseline"/>
                            <w:position w:val="0"/>
                            <w:sz w:val="17"/>
                            <w:i w:val="false"/>
                            <w:dstrike w:val="false"/>
                            <w:strike w:val="false"/>
                            <w:u w:val="none"/>
                            <w:b/>
                            <w:sz w:val="17"/>
                            <w:rFonts w:eastAsia="Calibri" w:cs="" w:ascii="Arial" w:hAnsi="Arial"/>
                            <w:color w:val="auto"/>
                            <w:lang w:val="en-US" w:eastAsia="en-US" w:bidi="ar-SA"/>
                          </w:rPr>
                          <w:t>5. Vyhodnocování interního protikorupčního programu</w:t>
                        </w:r>
                      </w:p>
                    </w:txbxContent>
                  </v:textbox>
                  <v:fill o:detectmouseclick="t" on="false"/>
                  <v:stroke color="#3465a4" joinstyle="round" endcap="flat"/>
                  <w10:wrap type="square"/>
                </v:rect>
              </v:group>
            </w:pict>
          </mc:Fallback>
        </mc:AlternateContent>
      </w:r>
    </w:p>
    <w:p>
      <w:pPr>
        <w:pStyle w:val="TextBody"/>
        <w:spacing w:before="5" w:after="0"/>
        <w:rPr>
          <w:rFonts w:ascii="Arial" w:hAnsi="Arial"/>
          <w:b/>
          <w:b/>
          <w:sz w:val="16"/>
        </w:rPr>
      </w:pPr>
      <w:r>
        <w:rPr>
          <w:rFonts w:ascii="Arial" w:hAnsi="Arial"/>
          <w:b/>
          <w:sz w:val="16"/>
        </w:rPr>
      </w:r>
    </w:p>
    <w:p>
      <w:pPr>
        <w:pStyle w:val="Heading1"/>
        <w:numPr>
          <w:ilvl w:val="0"/>
          <w:numId w:val="5"/>
        </w:numPr>
        <w:tabs>
          <w:tab w:val="clear" w:pos="720"/>
          <w:tab w:val="left" w:pos="567" w:leader="none"/>
        </w:tabs>
        <w:spacing w:before="129" w:after="0"/>
        <w:ind w:left="567" w:hanging="567"/>
        <w:rPr>
          <w:rFonts w:ascii="Arial" w:hAnsi="Arial"/>
          <w:sz w:val="17"/>
        </w:rPr>
      </w:pPr>
      <w:bookmarkStart w:id="1" w:name="_bookmark1"/>
      <w:bookmarkEnd w:id="1"/>
      <w:r>
        <w:rPr>
          <w:u w:val="thick"/>
        </w:rPr>
        <w:t>Pojem</w:t>
      </w:r>
      <w:r>
        <w:rPr>
          <w:spacing w:val="-5"/>
          <w:u w:val="thick"/>
        </w:rPr>
        <w:t xml:space="preserve"> </w:t>
      </w:r>
      <w:r>
        <w:rPr>
          <w:u w:val="thick"/>
        </w:rPr>
        <w:t>korupce</w:t>
      </w:r>
    </w:p>
    <w:p>
      <w:pPr>
        <w:pStyle w:val="TextBody"/>
        <w:spacing w:before="116" w:after="0"/>
        <w:ind w:right="494" w:hanging="0"/>
        <w:jc w:val="both"/>
        <w:rPr>
          <w:rFonts w:ascii="Arial" w:hAnsi="Arial"/>
          <w:sz w:val="17"/>
        </w:rPr>
      </w:pPr>
      <w:r>
        <w:rPr/>
      </w:r>
    </w:p>
    <w:p>
      <w:pPr>
        <w:pStyle w:val="TextBody"/>
        <w:spacing w:before="120" w:after="0"/>
        <w:ind w:right="489" w:hanging="0"/>
        <w:jc w:val="both"/>
        <w:rPr>
          <w:rFonts w:ascii="Arial" w:hAnsi="Arial"/>
          <w:sz w:val="17"/>
        </w:rPr>
      </w:pPr>
      <w:r>
        <w:rPr/>
        <w:t>Korupce (latinsky corrumpere = kazit, oslabit, znetvořit, podplatit) je v prostředí veřejné správy České republiky zpravidla vnímána jako úplatkářství, respektive jev, který „otevírá dveře úřednických kanceláří“ a zajišťuje či urychluje vyřizování záležitostí. Pojem korupce zahrnuje společenské jevy, které se svým charakterem radikálně liší. Liší se formy úplatku, výše úplatku, rozsah zainteresovaných osob, složitost, délka procesů. Vedle úplatkářství patří k hlavním formám korupce i nepotismus a klientelismus. Korupci chápeme jako slib, nabídku, poskytnutí úplatku  nebo jiné neoprávněné výhody  s cílem ovlivnit něčí jednání nebo rozhodnutí. Korupcí nazýváme také žádost o úplatek a přijetí úplatku.</w:t>
      </w:r>
    </w:p>
    <w:p>
      <w:pPr>
        <w:pStyle w:val="TextBody"/>
        <w:spacing w:before="120" w:after="0"/>
        <w:ind w:right="489" w:hanging="0"/>
        <w:jc w:val="both"/>
        <w:rPr>
          <w:rFonts w:ascii="Arial" w:hAnsi="Arial"/>
          <w:sz w:val="17"/>
        </w:rPr>
      </w:pPr>
      <w:r>
        <w:rPr/>
        <w:t>Korupci lze charakterizovat jako vztah dvou stran (přičemž i v tomto vztahu platí, že na jedné straně může být více subjektů), ve kterém jedna strana poruší své povinnosti, především pak zneužije určitou pravomoc (zneužití pravomoci v sobě zahrnuje též zneužití postavení), za což získá neoprávněné zvýhodnění pro sebe nebo jiného, a to z vlastního podnětu nebo z podnětu jiné osoby, přičemž  i druhá strana získá určité neoprávněné zvýhodnění  pro sebe nebo jiného,   a mezi porušením povinnosti a neoprávněným zvýhodněním je souvislost</w:t>
      </w:r>
      <w:r>
        <w:rPr>
          <w:spacing w:val="-1"/>
        </w:rPr>
        <w:t xml:space="preserve"> </w:t>
      </w:r>
      <w:r>
        <w:rPr/>
        <w:t>(spojitost).</w:t>
      </w:r>
    </w:p>
    <w:p>
      <w:pPr>
        <w:pStyle w:val="TextBody"/>
        <w:spacing w:before="121" w:after="0"/>
        <w:ind w:right="488" w:hanging="0"/>
        <w:jc w:val="both"/>
        <w:rPr>
          <w:rFonts w:ascii="Arial" w:hAnsi="Arial"/>
          <w:sz w:val="17"/>
        </w:rPr>
      </w:pPr>
      <w:r>
        <w:rPr/>
        <w:t>Postih korupčního jednání upravuje zejména zákon č. 40/2009 Sb., trestní zákoník, ve znění pozdějších předpisů, a to ve svých ustanoveních § 331 – Přijetí úplatku, § 332 – Podplacení a § 333 – Nepřímé úplatkářství. Kromě úplatkářství je v trestním zákoníku zakotveno několik dalších skutkových podstat trestných činů, které vymezují korupční</w:t>
      </w:r>
      <w:r>
        <w:rPr>
          <w:spacing w:val="1"/>
        </w:rPr>
        <w:t xml:space="preserve"> </w:t>
      </w:r>
      <w:r>
        <w:rPr/>
        <w:t>jednání. K trestným činům, které mají ve svých skutkových podstatách znaky korupčního chování, lze řadit trestné činy podle ustanovení § 226 - Pletichy v insolvenčním řízení, § 248 - Porušení předpisů o pravidlech hospodářské soutěže, § 255 – Zneužití informace v obchodním styku, § 256 – Zjednání výhody při zadání veřejné zakázky, při veřejné soutěži a veřejné dražbě, § 257 – Pletichy při zadání veřejné zakázky a při veřejné soutěži či § 258 – Pletichy při veřejné dražbě.</w:t>
      </w:r>
    </w:p>
    <w:p>
      <w:pPr>
        <w:pStyle w:val="TextBody"/>
        <w:spacing w:before="121" w:after="0"/>
        <w:ind w:left="218" w:right="488" w:firstLine="707"/>
        <w:jc w:val="both"/>
        <w:rPr>
          <w:rFonts w:ascii="Arial" w:hAnsi="Arial"/>
          <w:sz w:val="17"/>
        </w:rPr>
      </w:pPr>
      <w:r>
        <w:rPr/>
      </w:r>
    </w:p>
    <w:p>
      <w:pPr>
        <w:pStyle w:val="TextBody"/>
        <w:spacing w:before="121" w:after="0"/>
        <w:ind w:right="488" w:hanging="0"/>
        <w:jc w:val="both"/>
        <w:rPr>
          <w:b/>
          <w:b/>
        </w:rPr>
      </w:pPr>
      <w:r>
        <w:rPr>
          <w:b/>
        </w:rPr>
        <w:t xml:space="preserve">Krizová nebo riziková místa možného vzniku korupce </w:t>
      </w:r>
    </w:p>
    <w:p>
      <w:pPr>
        <w:pStyle w:val="TextBody"/>
        <w:spacing w:before="121" w:after="0"/>
        <w:ind w:right="488" w:hanging="0"/>
        <w:jc w:val="both"/>
        <w:rPr>
          <w:rFonts w:ascii="Arial" w:hAnsi="Arial"/>
          <w:sz w:val="17"/>
        </w:rPr>
      </w:pPr>
      <w:r>
        <w:rPr/>
        <w:t>Ke korupci může docházet zejména u útvarů, které mají rozhodovací pravomoci a mohou ovlivnit, odprodeje majetku státu, zadávání a rozhodování o veřejných zakázkách, veřejných soutěžích, obsazování pracovních míst. Riziko vzniku korupce může být u osob, které disponují důležitými informacemi, jejichž funkční postavení v rámci organizace umožňuje ovlivnit rozhodovací procesy, ať už v přímé linii nadřízenosti a podřízenosti, nebo po linii výše postavení v rámci hierarchie funkcí a s tím spojených kontaktů.</w:t>
      </w:r>
    </w:p>
    <w:p>
      <w:pPr>
        <w:pStyle w:val="TextBody"/>
        <w:spacing w:before="121" w:after="0"/>
        <w:ind w:right="488" w:hanging="0"/>
        <w:jc w:val="both"/>
        <w:rPr>
          <w:rFonts w:ascii="Arial" w:hAnsi="Arial"/>
          <w:sz w:val="17"/>
        </w:rPr>
      </w:pPr>
      <w:r>
        <w:rPr/>
      </w:r>
    </w:p>
    <w:p>
      <w:pPr>
        <w:pStyle w:val="TextBody"/>
        <w:spacing w:before="121" w:after="0"/>
        <w:ind w:right="488" w:hanging="0"/>
        <w:jc w:val="both"/>
        <w:rPr>
          <w:b/>
          <w:b/>
        </w:rPr>
      </w:pPr>
      <w:r>
        <w:rPr>
          <w:b/>
        </w:rPr>
        <w:t xml:space="preserve">Opatření ke snížení rizika </w:t>
      </w:r>
    </w:p>
    <w:p>
      <w:pPr>
        <w:pStyle w:val="TextBody"/>
        <w:spacing w:before="121" w:after="0"/>
        <w:ind w:right="488" w:hanging="0"/>
        <w:jc w:val="both"/>
        <w:rPr>
          <w:rFonts w:ascii="Arial" w:hAnsi="Arial"/>
          <w:sz w:val="17"/>
        </w:rPr>
      </w:pPr>
      <w:r>
        <w:rPr/>
        <w:t>Protikorupční opatření jsou navržena na základě vyhodnocení organizačních změn, postupů a zkušeností ve vykonávaných činnostech a s přihlédnutím k prioritám stanoveným vládou ve výše uvedených legislativních předpisech. Primární odpovědnost za prevenci korupce nesou zejména vedení a vedoucí zaměstnanci NK. Tento proces zahrnuje přijetí příslušné legislativy a na ni navazující tvorbu vnitřních předpisů.</w:t>
      </w:r>
    </w:p>
    <w:p>
      <w:pPr>
        <w:sectPr>
          <w:type w:val="continuous"/>
          <w:pgSz w:w="11906" w:h="16838"/>
          <w:pgMar w:left="1200" w:right="640" w:gutter="0" w:header="677" w:top="1280" w:footer="816" w:bottom="1000"/>
          <w:formProt w:val="false"/>
          <w:textDirection w:val="lrTb"/>
          <w:docGrid w:type="default" w:linePitch="100" w:charSpace="4096"/>
        </w:sectPr>
      </w:pPr>
    </w:p>
    <w:p>
      <w:pPr>
        <w:pStyle w:val="TextBody"/>
        <w:rPr>
          <w:sz w:val="32"/>
        </w:rPr>
      </w:pPr>
      <w:r>
        <w:rPr>
          <w:sz w:val="32"/>
        </w:rPr>
      </w:r>
      <w:bookmarkStart w:id="2" w:name="_bookmark2"/>
      <w:bookmarkStart w:id="3" w:name="_bookmark2"/>
      <w:bookmarkEnd w:id="3"/>
    </w:p>
    <w:p>
      <w:pPr>
        <w:pStyle w:val="Heading1"/>
        <w:tabs>
          <w:tab w:val="clear" w:pos="720"/>
          <w:tab w:val="left" w:pos="927" w:leader="none"/>
        </w:tabs>
        <w:spacing w:before="237" w:after="0"/>
        <w:ind w:left="0" w:hanging="0"/>
        <w:rPr>
          <w:rFonts w:ascii="Arial" w:hAnsi="Arial"/>
          <w:sz w:val="17"/>
        </w:rPr>
      </w:pPr>
      <w:bookmarkStart w:id="4" w:name="_bookmark3"/>
      <w:bookmarkEnd w:id="4"/>
      <w:r>
        <w:rPr>
          <w:u w:val="thick"/>
        </w:rPr>
        <w:t>INTERNÍ PROTIKORUPČNÍ PROGRAM</w:t>
      </w:r>
      <w:r>
        <w:rPr>
          <w:spacing w:val="3"/>
          <w:u w:val="thick"/>
        </w:rPr>
        <w:t xml:space="preserve"> </w:t>
      </w:r>
      <w:r>
        <w:rPr>
          <w:u w:val="thick"/>
        </w:rPr>
        <w:t>NK</w:t>
      </w:r>
    </w:p>
    <w:p>
      <w:pPr>
        <w:pStyle w:val="TextBody"/>
        <w:spacing w:before="113" w:after="0"/>
        <w:ind w:right="431" w:hanging="0"/>
        <w:jc w:val="both"/>
        <w:rPr>
          <w:rFonts w:ascii="Arial" w:hAnsi="Arial"/>
          <w:sz w:val="17"/>
        </w:rPr>
      </w:pPr>
      <w:r>
        <w:rPr/>
        <w:t>Interní protikorupční program NK je souborem protikorupčních opatření, jejichž cílem je minimalizovat korupční rizika a zamezit vzniku možného korupčního jednání.</w:t>
      </w:r>
    </w:p>
    <w:p>
      <w:pPr>
        <w:pStyle w:val="TextBody"/>
        <w:spacing w:before="8" w:after="0"/>
        <w:rPr>
          <w:sz w:val="31"/>
        </w:rPr>
      </w:pPr>
      <w:r>
        <w:rPr>
          <w:sz w:val="31"/>
        </w:rPr>
      </w:r>
    </w:p>
    <w:p>
      <w:pPr>
        <w:pStyle w:val="Heading1"/>
        <w:numPr>
          <w:ilvl w:val="1"/>
          <w:numId w:val="8"/>
        </w:numPr>
        <w:tabs>
          <w:tab w:val="clear" w:pos="720"/>
          <w:tab w:val="left" w:pos="1071" w:leader="none"/>
        </w:tabs>
        <w:rPr>
          <w:rFonts w:ascii="Arial" w:hAnsi="Arial"/>
          <w:sz w:val="17"/>
        </w:rPr>
      </w:pPr>
      <w:bookmarkStart w:id="5" w:name="_bookmark4"/>
      <w:bookmarkEnd w:id="5"/>
      <w:r>
        <w:rPr>
          <w:u w:val="thick"/>
        </w:rPr>
        <w:t>Vytváření a posilování protikorupčního</w:t>
      </w:r>
      <w:r>
        <w:rPr>
          <w:spacing w:val="-6"/>
          <w:u w:val="thick"/>
        </w:rPr>
        <w:t xml:space="preserve"> </w:t>
      </w:r>
      <w:r>
        <w:rPr>
          <w:u w:val="thick"/>
        </w:rPr>
        <w:t>klimatu</w:t>
      </w:r>
    </w:p>
    <w:p>
      <w:pPr>
        <w:pStyle w:val="TextBody"/>
        <w:spacing w:before="115" w:after="0"/>
        <w:ind w:right="493" w:hanging="0"/>
        <w:jc w:val="both"/>
        <w:rPr>
          <w:rFonts w:ascii="Arial" w:hAnsi="Arial"/>
          <w:sz w:val="17"/>
        </w:rPr>
      </w:pPr>
      <w:r>
        <w:rPr/>
        <w:t xml:space="preserve">Cíl: snižovat motivaci zaměstnanců ke korupci a zvyšovat pravděpodobnost jejího odhalení. </w:t>
      </w:r>
    </w:p>
    <w:p>
      <w:pPr>
        <w:pStyle w:val="TextBody"/>
        <w:spacing w:before="115" w:after="0"/>
        <w:ind w:right="493" w:hanging="0"/>
        <w:jc w:val="both"/>
        <w:rPr>
          <w:rFonts w:ascii="Arial" w:hAnsi="Arial"/>
          <w:sz w:val="17"/>
        </w:rPr>
      </w:pPr>
      <w:r>
        <w:rPr/>
        <w:t>Prostředí, v němž je odmítáno korupční jednání a je zdůrazňována ochrana majetku státu, je jedním ze základních pilířů interního protikorupčního programu. Hlavními nástroji pro budování prostředí, v němž je odmítáno korupční jednání, jsou osvěta, posilování morální integrity zaměstnanců, aktivní propagace etických zásad, kontrola dodržování etických zásad a nastavení důvěryhodného mechanizmu pro oznámení podezření na korupční</w:t>
      </w:r>
      <w:r>
        <w:rPr>
          <w:spacing w:val="-3"/>
        </w:rPr>
        <w:t xml:space="preserve"> </w:t>
      </w:r>
      <w:r>
        <w:rPr/>
        <w:t>jednání.</w:t>
      </w:r>
    </w:p>
    <w:p>
      <w:pPr>
        <w:pStyle w:val="Heading1"/>
        <w:numPr>
          <w:ilvl w:val="2"/>
          <w:numId w:val="8"/>
        </w:numPr>
        <w:tabs>
          <w:tab w:val="clear" w:pos="720"/>
          <w:tab w:val="left" w:pos="709" w:leader="none"/>
        </w:tabs>
        <w:spacing w:before="245" w:after="0"/>
        <w:ind w:left="709" w:hanging="709"/>
        <w:rPr>
          <w:rFonts w:ascii="Arial" w:hAnsi="Arial"/>
          <w:sz w:val="17"/>
        </w:rPr>
      </w:pPr>
      <w:bookmarkStart w:id="6" w:name="_bookmark5"/>
      <w:bookmarkEnd w:id="6"/>
      <w:r>
        <w:rPr/>
        <w:t>Propagace protikorupčního postoje vedením a vedoucími zaměstnanci</w:t>
      </w:r>
    </w:p>
    <w:p>
      <w:pPr>
        <w:pStyle w:val="TextBody"/>
        <w:spacing w:before="121" w:after="0"/>
        <w:ind w:right="489" w:hanging="0"/>
        <w:jc w:val="both"/>
        <w:rPr>
          <w:color w:val="000000" w:themeColor="text1"/>
        </w:rPr>
      </w:pPr>
      <w:r>
        <w:rPr>
          <w:color w:val="000000" w:themeColor="text1"/>
        </w:rPr>
        <w:t xml:space="preserve">Protikorupčním postojem se vedle vlastní bezúhonnosti rozumí zejména dodržování právních a interních předpisů, zdůrazňování významu ochrany majetku státu, zdůrazňování důležitosti existence a dodržování etických zásad při výkonu služby či práce, propagace jednání odmítajícího korupci a důraz na prošetřování podezření a na vyvození adekvátních disciplinárních a jiných opatření v případě prokázání prošetřovaných skutečností. </w:t>
      </w:r>
    </w:p>
    <w:p>
      <w:pPr>
        <w:pStyle w:val="TextBody"/>
        <w:spacing w:before="121" w:after="0"/>
        <w:ind w:right="489" w:hanging="0"/>
        <w:jc w:val="both"/>
        <w:rPr>
          <w:color w:val="000000" w:themeColor="text1"/>
        </w:rPr>
      </w:pPr>
      <w:r>
        <w:rPr>
          <w:color w:val="000000" w:themeColor="text1"/>
        </w:rPr>
        <w:t xml:space="preserve">Boj s korupcí má výslovnou podporu vedení NK vyjádřenou úsilím o posílení etického chování, otevřeným vyjadřováním názorů zaměstnanců NK a upozorňování na neetické chování. Vedení NK  si je vědomo následků, které může neřešená hrozba korupce způsobit. V této souvislosti klade vedení NK mimořádný důraz na ochranu majetku státu, dodržování nejvyšších etických standardů, právních a vnitřních předpisů a podporu oznamování podezření na korupční jednání, která jsou činěna v dobré víře. </w:t>
      </w:r>
    </w:p>
    <w:p>
      <w:pPr>
        <w:pStyle w:val="TextBody"/>
        <w:spacing w:before="121" w:after="0"/>
        <w:ind w:right="489" w:hanging="0"/>
        <w:jc w:val="both"/>
        <w:rPr>
          <w:color w:val="000000" w:themeColor="text1"/>
        </w:rPr>
      </w:pPr>
      <w:r>
        <w:rPr>
          <w:color w:val="000000" w:themeColor="text1"/>
        </w:rPr>
        <w:t xml:space="preserve">Vedení NK netoleruje korupční jednání, uvnitř ani navenek organizace, a použije veškeré dostupné právní prostředky vůči osobám, které se tohoto jednání dopustí nebo se o ně pokusí. Stejně tak nebudou tolerována odvetná opatření vůči oznamovatelům korupčního jednání. </w:t>
      </w:r>
    </w:p>
    <w:p>
      <w:pPr>
        <w:pStyle w:val="TextBody"/>
        <w:spacing w:before="121" w:after="0"/>
        <w:ind w:right="489" w:hanging="0"/>
        <w:jc w:val="both"/>
        <w:rPr>
          <w:color w:val="000000" w:themeColor="text1"/>
        </w:rPr>
      </w:pPr>
      <w:r>
        <w:rPr>
          <w:color w:val="000000" w:themeColor="text1"/>
        </w:rPr>
        <w:t>Všichni vedoucí zaměstnanci musí aktivně vystupovat v boji s korupcí a prezentovat kromě vlastní bezúhonnosti i důsledné dodržování právních a služebních/vnitřních předpisů, zdůrazňovat význam ochrany majetku státu, zdůrazňovat důležitost existence a dodržování etických pravidel při výkonu služby/práce, propagovat jednání odmítající korupci.</w:t>
      </w:r>
    </w:p>
    <w:p>
      <w:pPr>
        <w:sectPr>
          <w:headerReference w:type="default" r:id="rId4"/>
          <w:footerReference w:type="default" r:id="rId5"/>
          <w:type w:val="nextPage"/>
          <w:pgSz w:w="11906" w:h="16838"/>
          <w:pgMar w:left="1200" w:right="640" w:gutter="0" w:header="677" w:top="1280" w:footer="816" w:bottom="1000"/>
          <w:pgNumType w:fmt="decimal"/>
          <w:formProt w:val="false"/>
          <w:textDirection w:val="lrTb"/>
          <w:docGrid w:type="default" w:linePitch="100" w:charSpace="4096"/>
        </w:sectPr>
        <w:pStyle w:val="TextBody"/>
        <w:spacing w:before="115" w:after="0"/>
        <w:ind w:right="489" w:hanging="0"/>
        <w:jc w:val="both"/>
        <w:rPr>
          <w:color w:val="000000" w:themeColor="text1"/>
        </w:rPr>
      </w:pPr>
      <w:r>
        <w:rPr>
          <w:color w:val="000000" w:themeColor="text1"/>
        </w:rPr>
        <w:t>Propagace protikorupčního postoje musí probíhat průběžně počínaje vstupním školením nově přijatých zaměstnanců, kde jsou boj s korupcí spolu s Etickým kodexem zaměstnanců (dále jen „Etický kodex“) jedním z témat školení. Další z forem propagace protikorupčního postoje lze doporučit aktivní vystupování vedoucích zaměstnanců na školících akcích zaměřených na protikorupční problematiku. Zaměstnanci se tak osobně setkávají s protikorupčním vystupováním svých nadřízených, případně jsou seznamováni s konkrétními příklady z praxe své organizace včetně jejich řešení a důsledků.</w:t>
      </w:r>
    </w:p>
    <w:p>
      <w:pPr>
        <w:pStyle w:val="TextBody"/>
        <w:spacing w:before="6" w:after="0"/>
        <w:rPr>
          <w:sz w:val="10"/>
        </w:rPr>
      </w:pPr>
      <w:r>
        <w:rPr>
          <w:sz w:val="10"/>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1.1.1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Aktivně propagovat protikorupční postoj na pracovišti.</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všichni vedoucí zaměstnanci</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162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hanging="0"/>
              <w:jc w:val="left"/>
              <w:rPr>
                <w:sz w:val="32"/>
              </w:rPr>
            </w:pPr>
            <w:r>
              <w:rPr>
                <w:kern w:val="0"/>
                <w:sz w:val="22"/>
                <w:szCs w:val="22"/>
              </w:rPr>
            </w:r>
          </w:p>
          <w:p>
            <w:pPr>
              <w:pStyle w:val="TableParagraph"/>
              <w:widowControl w:val="false"/>
              <w:spacing w:before="6" w:after="0"/>
              <w:ind w:left="0" w:hanging="0"/>
              <w:jc w:val="left"/>
              <w:rPr>
                <w:sz w:val="26"/>
              </w:rPr>
            </w:pPr>
            <w:r>
              <w:rPr>
                <w:kern w:val="0"/>
                <w:sz w:val="22"/>
                <w:szCs w:val="22"/>
              </w:rPr>
            </w:r>
          </w:p>
          <w:p>
            <w:pPr>
              <w:pStyle w:val="TableParagraph"/>
              <w:widowControl w:val="false"/>
              <w:spacing w:before="0" w:after="0"/>
              <w:jc w:val="left"/>
              <w:rPr>
                <w:b/>
                <w:b/>
                <w:sz w:val="24"/>
              </w:rPr>
            </w:pPr>
            <w:r>
              <w:rPr>
                <w:b/>
                <w:kern w:val="0"/>
                <w:sz w:val="24"/>
                <w:szCs w:val="22"/>
              </w:rPr>
              <w:t>Úkol č. 1.1.2</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ind w:left="108" w:right="96" w:hanging="0"/>
              <w:jc w:val="left"/>
              <w:rPr>
                <w:sz w:val="24"/>
              </w:rPr>
            </w:pPr>
            <w:r>
              <w:rPr>
                <w:kern w:val="0"/>
                <w:sz w:val="24"/>
                <w:szCs w:val="22"/>
              </w:rPr>
              <w:t>Na poradách se svými podřízenými zaměstnanci zhodnocovat korupční situaci na pracovišti a vycházet přitom z mapy korupčních rizik. Podřízené zaměstnance seznamovat s korupčními případy, které se za uplynuté období na pracovišti staly, sdílet způsob jejich řešení a důsledky s nimi spojené.</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všichni vedoucí zaměstnanci</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1067"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0" w:hanging="0"/>
              <w:jc w:val="left"/>
              <w:rPr>
                <w:sz w:val="34"/>
              </w:rPr>
            </w:pPr>
            <w:r>
              <w:rPr>
                <w:kern w:val="0"/>
                <w:sz w:val="22"/>
                <w:szCs w:val="22"/>
              </w:rPr>
            </w:r>
          </w:p>
          <w:p>
            <w:pPr>
              <w:pStyle w:val="TableParagraph"/>
              <w:widowControl w:val="false"/>
              <w:spacing w:before="1" w:after="0"/>
              <w:jc w:val="left"/>
              <w:rPr>
                <w:b/>
                <w:b/>
                <w:sz w:val="24"/>
              </w:rPr>
            </w:pPr>
            <w:r>
              <w:rPr>
                <w:b/>
                <w:kern w:val="0"/>
                <w:sz w:val="24"/>
                <w:szCs w:val="22"/>
              </w:rPr>
              <w:t>Úkol č. 1.1.3</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7" w:hanging="0"/>
              <w:jc w:val="left"/>
              <w:rPr>
                <w:sz w:val="24"/>
              </w:rPr>
            </w:pPr>
            <w:r>
              <w:rPr>
                <w:kern w:val="0"/>
                <w:sz w:val="24"/>
                <w:szCs w:val="22"/>
              </w:rPr>
              <w:t>Klást důraz na prošetřování podezření na korupci a na vyvození adekvátních disciplinárních a jiných opatření v případě prokázání prošetřovaných skutečností.</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všichni vedoucí zaměstnanci</w:t>
            </w:r>
          </w:p>
        </w:tc>
      </w:tr>
      <w:tr>
        <w:trPr>
          <w:trHeight w:val="518"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jc w:val="left"/>
              <w:rPr>
                <w:sz w:val="24"/>
              </w:rPr>
            </w:pPr>
            <w:r>
              <w:rPr>
                <w:kern w:val="0"/>
                <w:sz w:val="24"/>
                <w:szCs w:val="22"/>
              </w:rPr>
              <w:t>průběžně, trvale</w:t>
            </w:r>
          </w:p>
        </w:tc>
      </w:tr>
    </w:tbl>
    <w:p>
      <w:pPr>
        <w:pStyle w:val="TextBody"/>
        <w:rPr>
          <w:sz w:val="20"/>
        </w:rPr>
      </w:pPr>
      <w:r>
        <w:rPr>
          <w:sz w:val="20"/>
        </w:rPr>
      </w:r>
    </w:p>
    <w:p>
      <w:pPr>
        <w:pStyle w:val="Heading1"/>
        <w:numPr>
          <w:ilvl w:val="2"/>
          <w:numId w:val="8"/>
        </w:numPr>
        <w:tabs>
          <w:tab w:val="clear" w:pos="720"/>
          <w:tab w:val="left" w:pos="709" w:leader="none"/>
        </w:tabs>
        <w:spacing w:before="285" w:after="0"/>
        <w:ind w:left="709" w:right="488" w:hanging="708"/>
        <w:rPr>
          <w:sz w:val="20"/>
        </w:rPr>
      </w:pPr>
      <w:bookmarkStart w:id="7" w:name="_bookmark6"/>
      <w:bookmarkEnd w:id="7"/>
      <w:r>
        <w:rPr/>
        <w:t xml:space="preserve">Etický kodex </w:t>
      </w:r>
    </w:p>
    <w:p>
      <w:pPr>
        <w:pStyle w:val="Heading1"/>
        <w:tabs>
          <w:tab w:val="clear" w:pos="720"/>
          <w:tab w:val="left" w:pos="709" w:leader="none"/>
        </w:tabs>
        <w:spacing w:before="285" w:after="0"/>
        <w:ind w:left="1" w:right="488" w:hanging="0"/>
        <w:rPr>
          <w:b w:val="false"/>
          <w:b w:val="false"/>
        </w:rPr>
      </w:pPr>
      <w:r>
        <w:rPr>
          <w:b w:val="false"/>
        </w:rPr>
        <w:t xml:space="preserve">Etický kodex stanovuje chování a povinnosti zaměstnanců, které nevyplývají ze zákona či ze služebních nebo vnitřních předpisů, může i detailněji rozvádět problematické oblasti jako jsou např. dary, střet zájmů apod. Jeho implementace spočívá v aktivní propagaci a vyhodnocování jeho účinnosti. Pouhá existence etického kodexu není dostačující, je třeba zajistit dostupnost etického kodexu všem zaměstnancům, pravidelné vysvětlování jejich obsahu a zároveň nastavení kontrolních mechanismů ověřujících jejich dodržování. Porušení etického kodexu představuje porušení povinností vyplývajících z pracovních nebo vnitřních předpisů. </w:t>
      </w:r>
    </w:p>
    <w:p>
      <w:pPr>
        <w:pStyle w:val="Heading1"/>
        <w:tabs>
          <w:tab w:val="clear" w:pos="720"/>
          <w:tab w:val="left" w:pos="709" w:leader="none"/>
        </w:tabs>
        <w:spacing w:before="285" w:after="0"/>
        <w:ind w:left="1" w:right="488" w:hanging="0"/>
        <w:rPr>
          <w:b w:val="false"/>
          <w:b w:val="false"/>
        </w:rPr>
      </w:pPr>
      <w:r>
        <w:rPr>
          <w:b w:val="false"/>
        </w:rPr>
        <w:t>Zaměstnanci jsou s ním seznámeni v rámci vstupního školení. Tento interní předpis je zveřejněn na intranetových stránkách NK a všichni zaměstnanci jsou povinni ho dodržovat. Vedoucí zaměstnanci NK mají za úkol propagovat jeho obsah podřízeným zaměstnancům a aktivně prosazovat a kontrolovat jeho dodržování.</w:t>
      </w:r>
    </w:p>
    <w:p>
      <w:pPr>
        <w:pStyle w:val="Heading1"/>
        <w:tabs>
          <w:tab w:val="clear" w:pos="720"/>
          <w:tab w:val="left" w:pos="709" w:leader="none"/>
        </w:tabs>
        <w:spacing w:before="285" w:after="0"/>
        <w:ind w:left="1" w:right="488" w:hanging="0"/>
        <w:rPr>
          <w:b w:val="false"/>
          <w:b w:val="false"/>
        </w:rPr>
      </w:pPr>
      <w:r>
        <w:rPr>
          <w:b w:val="false"/>
        </w:rPr>
        <w:t xml:space="preserve">Etický kodex je zveřejněn na internetových stránkách NK: </w:t>
      </w:r>
      <w:hyperlink r:id="rId6">
        <w:r>
          <w:rPr>
            <w:rStyle w:val="InternetLink"/>
            <w:b w:val="false"/>
          </w:rPr>
          <w:t>https://www.nkp.cz/soubory/eticky-kodex.pdf</w:t>
        </w:r>
      </w:hyperlink>
      <w:r>
        <w:rPr>
          <w:b w:val="false"/>
        </w:rPr>
        <w:t>.</w:t>
      </w:r>
    </w:p>
    <w:p>
      <w:pPr>
        <w:pStyle w:val="Heading1"/>
        <w:tabs>
          <w:tab w:val="clear" w:pos="720"/>
          <w:tab w:val="left" w:pos="709" w:leader="none"/>
        </w:tabs>
        <w:spacing w:before="285" w:after="0"/>
        <w:ind w:left="1" w:right="488" w:hanging="0"/>
        <w:rPr>
          <w:b w:val="false"/>
          <w:b w:val="false"/>
        </w:rPr>
      </w:pPr>
      <w:r>
        <w:rPr>
          <w:b w:val="false"/>
        </w:rPr>
        <w:t xml:space="preserve">Etický kodex výzkumných pracovníků Národní knihovny je zveřejněn na internetových stránkách: </w:t>
      </w:r>
      <w:hyperlink r:id="rId7">
        <w:r>
          <w:rPr>
            <w:rStyle w:val="InternetLink"/>
            <w:b w:val="false"/>
          </w:rPr>
          <w:t>https://nkp.cz/soubory/ostatni/eticky_kodex_vp.pdf</w:t>
        </w:r>
      </w:hyperlink>
      <w:r>
        <w:rPr>
          <w:b w:val="false"/>
        </w:rPr>
        <w:t>.</w:t>
      </w:r>
    </w:p>
    <w:p>
      <w:pPr>
        <w:pStyle w:val="Heading1"/>
        <w:tabs>
          <w:tab w:val="clear" w:pos="720"/>
          <w:tab w:val="left" w:pos="709" w:leader="none"/>
        </w:tabs>
        <w:spacing w:before="285" w:after="0"/>
        <w:ind w:left="1" w:right="488" w:hanging="0"/>
        <w:rPr>
          <w:b w:val="false"/>
          <w:b w:val="false"/>
          <w:sz w:val="20"/>
        </w:rPr>
      </w:pPr>
      <w:r>
        <w:rPr>
          <w:b w:val="false"/>
          <w:sz w:val="20"/>
        </w:rPr>
      </w:r>
    </w:p>
    <w:p>
      <w:pPr>
        <w:pStyle w:val="TextBody"/>
        <w:spacing w:before="5" w:after="0"/>
        <w:rPr>
          <w:sz w:val="25"/>
        </w:rPr>
      </w:pPr>
      <w:r>
        <w:rPr>
          <w:sz w:val="25"/>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92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 w:after="0"/>
              <w:ind w:left="0" w:hanging="0"/>
              <w:jc w:val="left"/>
              <w:rPr>
                <w:sz w:val="26"/>
              </w:rPr>
            </w:pPr>
            <w:r>
              <w:rPr>
                <w:kern w:val="0"/>
                <w:sz w:val="22"/>
                <w:szCs w:val="22"/>
              </w:rPr>
            </w:r>
          </w:p>
          <w:p>
            <w:pPr>
              <w:pStyle w:val="TableParagraph"/>
              <w:widowControl w:val="false"/>
              <w:spacing w:before="0" w:after="0"/>
              <w:jc w:val="left"/>
              <w:rPr>
                <w:b/>
                <w:b/>
                <w:sz w:val="24"/>
              </w:rPr>
            </w:pPr>
            <w:r>
              <w:rPr>
                <w:b/>
                <w:kern w:val="0"/>
                <w:sz w:val="24"/>
                <w:szCs w:val="22"/>
              </w:rPr>
              <w:t>Úkol č. 1.2.1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6" w:hanging="0"/>
              <w:jc w:val="left"/>
              <w:rPr>
                <w:sz w:val="24"/>
              </w:rPr>
            </w:pPr>
            <w:r>
              <w:rPr>
                <w:kern w:val="0"/>
                <w:sz w:val="24"/>
                <w:szCs w:val="22"/>
              </w:rPr>
              <w:t>Propagovat obsah Etického kodexu podřízeným zaměstnancům a aktivně prosazovat a kontrolovat dodržování těchto předpisů.</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všichni vedoucí zaměstnanci</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794"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8" w:after="0"/>
              <w:jc w:val="left"/>
              <w:rPr>
                <w:b/>
                <w:b/>
                <w:sz w:val="24"/>
              </w:rPr>
            </w:pPr>
            <w:r>
              <w:rPr>
                <w:b/>
                <w:kern w:val="0"/>
                <w:sz w:val="24"/>
                <w:szCs w:val="22"/>
              </w:rPr>
              <w:t>Úkol č. 1.2.2</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7" w:after="0"/>
              <w:jc w:val="left"/>
              <w:rPr>
                <w:sz w:val="24"/>
              </w:rPr>
            </w:pPr>
            <w:r>
              <w:rPr>
                <w:kern w:val="0"/>
                <w:sz w:val="24"/>
                <w:szCs w:val="22"/>
              </w:rPr>
              <w:t>V případě zjištěného pochybení postupovat dle platného Etického kodexu.</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všichni zaměstnanci</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rFonts w:ascii="Arial" w:hAnsi="Arial"/>
          <w:sz w:val="17"/>
        </w:rPr>
      </w:pPr>
      <w:r>
        <w:rPr/>
      </w:r>
    </w:p>
    <w:p>
      <w:pPr>
        <w:pStyle w:val="TextBody"/>
        <w:rPr>
          <w:sz w:val="20"/>
        </w:rPr>
      </w:pPr>
      <w:r>
        <w:rPr>
          <w:sz w:val="20"/>
        </w:rPr>
      </w:r>
    </w:p>
    <w:p>
      <w:pPr>
        <w:pStyle w:val="Heading1"/>
        <w:numPr>
          <w:ilvl w:val="2"/>
          <w:numId w:val="8"/>
        </w:numPr>
        <w:tabs>
          <w:tab w:val="clear" w:pos="720"/>
          <w:tab w:val="left" w:pos="1069" w:leader="none"/>
        </w:tabs>
        <w:spacing w:before="285" w:after="0"/>
        <w:ind w:left="1068" w:hanging="709"/>
        <w:rPr>
          <w:rFonts w:ascii="Arial" w:hAnsi="Arial"/>
          <w:sz w:val="17"/>
        </w:rPr>
      </w:pPr>
      <w:bookmarkStart w:id="8" w:name="_bookmark7"/>
      <w:bookmarkEnd w:id="8"/>
      <w:r>
        <w:rPr/>
        <w:t>Vzdělávání</w:t>
      </w:r>
      <w:r>
        <w:rPr>
          <w:spacing w:val="-1"/>
        </w:rPr>
        <w:t xml:space="preserve"> </w:t>
      </w:r>
      <w:r>
        <w:rPr/>
        <w:t>zaměstnanců</w:t>
      </w:r>
    </w:p>
    <w:p>
      <w:pPr>
        <w:pStyle w:val="TextBody"/>
        <w:spacing w:before="115" w:after="0"/>
        <w:ind w:right="492" w:hanging="0"/>
        <w:jc w:val="both"/>
        <w:rPr>
          <w:rFonts w:ascii="Arial" w:hAnsi="Arial"/>
          <w:sz w:val="17"/>
        </w:rPr>
      </w:pPr>
      <w:r>
        <w:rPr/>
        <w:t>Stávající vzdělávání zaměstnanců v oblasti boje s korupcí je založeno na vstupním vzdělávání, průběžném vzdělávání a studiu relevantních vnitřních předpisů.</w:t>
      </w:r>
    </w:p>
    <w:p>
      <w:pPr>
        <w:pStyle w:val="TextBody"/>
        <w:spacing w:before="120" w:after="0"/>
        <w:ind w:right="490" w:hanging="0"/>
        <w:jc w:val="both"/>
        <w:rPr>
          <w:rFonts w:ascii="Arial" w:hAnsi="Arial"/>
          <w:sz w:val="17"/>
        </w:rPr>
      </w:pPr>
      <w:r>
        <w:rPr/>
        <w:t xml:space="preserve">Při sestavování Ročního plánu vzdělávacích akcí NK a při realizaci školení zaměstnanců musí </w:t>
      </w:r>
      <w:r>
        <w:rPr>
          <w:spacing w:val="-2"/>
        </w:rPr>
        <w:t xml:space="preserve">být </w:t>
      </w:r>
      <w:r>
        <w:rPr/>
        <w:t>zároveň zohledňována mapa korupčních rizik tak, aby byla soustředěna hlavní pozornost na útvary a na oblasti činností, kde je vyšší rizikový faktor. Vedoucí zaměstnanci a zaměstnanci z útvarů více ohrožených korupcí by se měli těchto školení účastnit</w:t>
      </w:r>
      <w:r>
        <w:rPr>
          <w:spacing w:val="-1"/>
        </w:rPr>
        <w:t xml:space="preserve"> </w:t>
      </w:r>
      <w:r>
        <w:rPr/>
        <w:t xml:space="preserve">povinně. </w:t>
      </w:r>
    </w:p>
    <w:p>
      <w:pPr>
        <w:pStyle w:val="TextBody"/>
        <w:spacing w:before="120" w:after="0"/>
        <w:ind w:right="490" w:hanging="0"/>
        <w:jc w:val="both"/>
        <w:rPr>
          <w:rFonts w:ascii="Arial" w:hAnsi="Arial"/>
          <w:sz w:val="17"/>
        </w:rPr>
      </w:pPr>
      <w:r>
        <w:rPr/>
        <w:t>Jedním ze základních podkladů pro Roční plán vzdělávacích akcí jsou vzdělávací plány jednotlivých zaměstnanců. Příslušní vedoucí zaměstnanci z útvarů více ohrožených korupcí mají za povinnost zahrnout vzdělávání v oblasti boje s korupcí dle specifik jednotlivých útvarů do vzdělávacích plánů podřízených zaměstnanců.</w:t>
      </w:r>
    </w:p>
    <w:p>
      <w:pPr>
        <w:pStyle w:val="TextBody"/>
        <w:rPr>
          <w:sz w:val="20"/>
        </w:rPr>
      </w:pPr>
      <w:r>
        <w:rPr>
          <w:sz w:val="20"/>
        </w:rPr>
      </w:r>
    </w:p>
    <w:p>
      <w:pPr>
        <w:pStyle w:val="TextBody"/>
        <w:rPr>
          <w:sz w:val="15"/>
        </w:rPr>
      </w:pPr>
      <w:r>
        <w:rPr>
          <w:sz w:val="15"/>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1.3.1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Zajistit vstupní vzdělávání se zaměřením na boj proti korupci a na</w:t>
            </w:r>
          </w:p>
          <w:p>
            <w:pPr>
              <w:pStyle w:val="TableParagraph"/>
              <w:widowControl w:val="false"/>
              <w:spacing w:before="0" w:after="0"/>
              <w:jc w:val="left"/>
              <w:rPr>
                <w:sz w:val="24"/>
              </w:rPr>
            </w:pPr>
            <w:r>
              <w:rPr>
                <w:kern w:val="0"/>
                <w:sz w:val="24"/>
                <w:szCs w:val="22"/>
              </w:rPr>
              <w:t>pravidla etiky pro nově přijaté zaměstnance.</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ředitel odboru personální a mzdy</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rFonts w:ascii="Arial" w:hAnsi="Arial"/>
          <w:sz w:val="17"/>
        </w:rPr>
      </w:pPr>
      <w:r>
        <w:rPr/>
      </w:r>
    </w:p>
    <w:p>
      <w:pPr>
        <w:pStyle w:val="TextBody"/>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1.3.2</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6" w:hanging="0"/>
              <w:jc w:val="both"/>
              <w:rPr>
                <w:sz w:val="24"/>
              </w:rPr>
            </w:pPr>
            <w:r>
              <w:rPr>
                <w:kern w:val="0"/>
                <w:sz w:val="24"/>
                <w:szCs w:val="22"/>
              </w:rPr>
              <w:t>Zajistit školení v oblasti boje s korupcí, protikorupční školení</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vedoucí oddělení vzdělávání</w:t>
            </w:r>
          </w:p>
        </w:tc>
      </w:tr>
      <w:tr>
        <w:trPr>
          <w:trHeight w:val="518"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minimálně 1x za 2 roky</w:t>
            </w:r>
          </w:p>
        </w:tc>
      </w:tr>
    </w:tbl>
    <w:p>
      <w:pPr>
        <w:pStyle w:val="TextBody"/>
        <w:rPr>
          <w:rFonts w:ascii="Arial" w:hAnsi="Arial"/>
          <w:sz w:val="17"/>
        </w:rPr>
      </w:pPr>
      <w:r>
        <w:rPr/>
      </w:r>
    </w:p>
    <w:p>
      <w:pPr>
        <w:pStyle w:val="TextBody"/>
        <w:spacing w:before="9" w:after="0"/>
        <w:rPr>
          <w:sz w:val="44"/>
        </w:rPr>
      </w:pPr>
      <w:r>
        <w:rPr>
          <w:sz w:val="44"/>
        </w:rPr>
      </w:r>
    </w:p>
    <w:p>
      <w:pPr>
        <w:pStyle w:val="Heading1"/>
        <w:numPr>
          <w:ilvl w:val="2"/>
          <w:numId w:val="8"/>
        </w:numPr>
        <w:tabs>
          <w:tab w:val="clear" w:pos="720"/>
          <w:tab w:val="left" w:pos="1068" w:leader="none"/>
          <w:tab w:val="left" w:pos="1069" w:leader="none"/>
        </w:tabs>
        <w:ind w:left="1068" w:hanging="709"/>
        <w:rPr>
          <w:rFonts w:ascii="Arial" w:hAnsi="Arial"/>
          <w:sz w:val="17"/>
        </w:rPr>
      </w:pPr>
      <w:bookmarkStart w:id="9" w:name="_bookmark8"/>
      <w:bookmarkEnd w:id="9"/>
      <w:r>
        <w:rPr/>
        <w:t>Systém pro oznámení podezření na</w:t>
      </w:r>
      <w:r>
        <w:rPr>
          <w:spacing w:val="-3"/>
        </w:rPr>
        <w:t xml:space="preserve"> </w:t>
      </w:r>
      <w:r>
        <w:rPr/>
        <w:t>korupci</w:t>
      </w:r>
    </w:p>
    <w:p>
      <w:pPr>
        <w:pStyle w:val="TextBody"/>
        <w:spacing w:lineRule="auto" w:line="252" w:before="236" w:after="0"/>
        <w:ind w:right="431" w:hanging="0"/>
        <w:jc w:val="both"/>
        <w:rPr>
          <w:rFonts w:ascii="Arial" w:hAnsi="Arial"/>
          <w:sz w:val="17"/>
        </w:rPr>
      </w:pPr>
      <w:r>
        <w:rPr/>
        <w:t>Pro informování o podezření na korupci musí zaměstnanec NK anebo veřejnost podat oznámení orgánům činným v trestním řízení, dále může využít níže uvedené možnosti:</w:t>
      </w:r>
    </w:p>
    <w:p>
      <w:pPr>
        <w:pStyle w:val="ListParagraph"/>
        <w:numPr>
          <w:ilvl w:val="3"/>
          <w:numId w:val="9"/>
        </w:numPr>
        <w:tabs>
          <w:tab w:val="clear" w:pos="720"/>
          <w:tab w:val="left" w:pos="567" w:leader="none"/>
          <w:tab w:val="left" w:pos="927" w:leader="none"/>
          <w:tab w:val="left" w:pos="1712" w:leader="none"/>
          <w:tab w:val="left" w:pos="2552" w:leader="none"/>
        </w:tabs>
        <w:spacing w:before="121" w:after="0"/>
        <w:ind w:left="567" w:right="431" w:hanging="360"/>
        <w:jc w:val="both"/>
        <w:rPr>
          <w:sz w:val="24"/>
        </w:rPr>
      </w:pPr>
      <w:r>
        <w:rPr>
          <w:sz w:val="24"/>
        </w:rPr>
        <w:t>Pro podání oznámení o podezření ze spáchání protiprávního jednání ve služebních úřadech v elektronické podobě byla zřízena adresa elektronické pošty prosetrovatel@nkp.cz. Oznamovatel podání o podezření ze spáchání protiprávního jednání ve služebních úřadech má právo na utajení totožnosti, pokud o to v oznámení požádá. Prošetřovatel postupuje při prošetření tak, aby nedošlo k prozrazení totožnosti takového oznamovatele.</w:t>
      </w:r>
    </w:p>
    <w:p>
      <w:pPr>
        <w:pStyle w:val="TextBody"/>
        <w:tabs>
          <w:tab w:val="clear" w:pos="720"/>
          <w:tab w:val="left" w:pos="567" w:leader="none"/>
          <w:tab w:val="left" w:pos="1712" w:leader="none"/>
          <w:tab w:val="left" w:pos="2552" w:leader="none"/>
        </w:tabs>
        <w:spacing w:before="14" w:after="0"/>
        <w:jc w:val="both"/>
        <w:rPr>
          <w:rFonts w:ascii="Arial" w:hAnsi="Arial"/>
          <w:sz w:val="17"/>
        </w:rPr>
      </w:pPr>
      <w:r>
        <w:rPr/>
      </w:r>
    </w:p>
    <w:p>
      <w:pPr>
        <w:pStyle w:val="TextBody"/>
        <w:tabs>
          <w:tab w:val="clear" w:pos="720"/>
          <w:tab w:val="left" w:pos="567" w:leader="none"/>
          <w:tab w:val="left" w:pos="1712" w:leader="none"/>
          <w:tab w:val="left" w:pos="2552" w:leader="none"/>
        </w:tabs>
        <w:spacing w:before="14" w:after="0"/>
        <w:ind w:right="431" w:hanging="0"/>
        <w:jc w:val="both"/>
        <w:rPr>
          <w:rFonts w:ascii="Arial" w:hAnsi="Arial"/>
          <w:sz w:val="17"/>
        </w:rPr>
      </w:pPr>
      <w:r>
        <w:rPr/>
        <w:tab/>
        <w:t>Z oznámení by měly být zřejmé tyto informace:</w:t>
      </w:r>
    </w:p>
    <w:p>
      <w:pPr>
        <w:pStyle w:val="ListParagraph"/>
        <w:numPr>
          <w:ilvl w:val="0"/>
          <w:numId w:val="10"/>
        </w:numPr>
        <w:tabs>
          <w:tab w:val="clear" w:pos="720"/>
          <w:tab w:val="left" w:pos="1276" w:leader="none"/>
        </w:tabs>
        <w:ind w:left="1276" w:right="431" w:hanging="360"/>
        <w:jc w:val="both"/>
        <w:rPr>
          <w:sz w:val="24"/>
        </w:rPr>
      </w:pPr>
      <w:r>
        <w:rPr>
          <w:sz w:val="24"/>
        </w:rPr>
        <w:t>identifikace</w:t>
      </w:r>
      <w:r>
        <w:rPr>
          <w:spacing w:val="40"/>
          <w:sz w:val="24"/>
        </w:rPr>
        <w:t xml:space="preserve"> </w:t>
      </w:r>
      <w:r>
        <w:rPr>
          <w:sz w:val="24"/>
        </w:rPr>
        <w:t>osob</w:t>
      </w:r>
      <w:r>
        <w:rPr>
          <w:spacing w:val="42"/>
          <w:sz w:val="24"/>
        </w:rPr>
        <w:t xml:space="preserve"> </w:t>
      </w:r>
      <w:r>
        <w:rPr>
          <w:sz w:val="24"/>
        </w:rPr>
        <w:t>podezřelých</w:t>
      </w:r>
      <w:r>
        <w:rPr>
          <w:spacing w:val="40"/>
          <w:sz w:val="24"/>
        </w:rPr>
        <w:t xml:space="preserve"> </w:t>
      </w:r>
      <w:r>
        <w:rPr>
          <w:sz w:val="24"/>
        </w:rPr>
        <w:t>ze</w:t>
      </w:r>
      <w:r>
        <w:rPr>
          <w:spacing w:val="41"/>
          <w:sz w:val="24"/>
        </w:rPr>
        <w:t xml:space="preserve"> </w:t>
      </w:r>
      <w:r>
        <w:rPr>
          <w:sz w:val="24"/>
        </w:rPr>
        <w:t>spáchání</w:t>
      </w:r>
      <w:r>
        <w:rPr>
          <w:spacing w:val="45"/>
          <w:sz w:val="24"/>
        </w:rPr>
        <w:t xml:space="preserve"> </w:t>
      </w:r>
      <w:r>
        <w:rPr>
          <w:sz w:val="24"/>
        </w:rPr>
        <w:t>protiprávního</w:t>
      </w:r>
      <w:r>
        <w:rPr>
          <w:spacing w:val="42"/>
          <w:sz w:val="24"/>
        </w:rPr>
        <w:t xml:space="preserve"> </w:t>
      </w:r>
      <w:r>
        <w:rPr>
          <w:sz w:val="24"/>
        </w:rPr>
        <w:t>jednání</w:t>
      </w:r>
      <w:r>
        <w:rPr>
          <w:spacing w:val="42"/>
          <w:sz w:val="24"/>
        </w:rPr>
        <w:t xml:space="preserve"> </w:t>
      </w:r>
      <w:r>
        <w:rPr>
          <w:sz w:val="24"/>
        </w:rPr>
        <w:t>a</w:t>
      </w:r>
      <w:r>
        <w:rPr>
          <w:spacing w:val="-2"/>
          <w:sz w:val="24"/>
        </w:rPr>
        <w:t xml:space="preserve"> </w:t>
      </w:r>
      <w:r>
        <w:rPr>
          <w:sz w:val="24"/>
        </w:rPr>
        <w:t>všech</w:t>
      </w:r>
      <w:r>
        <w:rPr>
          <w:spacing w:val="44"/>
          <w:sz w:val="24"/>
        </w:rPr>
        <w:t xml:space="preserve"> </w:t>
      </w:r>
      <w:r>
        <w:rPr>
          <w:sz w:val="24"/>
        </w:rPr>
        <w:t>zúčastněných</w:t>
      </w:r>
    </w:p>
    <w:p>
      <w:pPr>
        <w:pStyle w:val="TextBody"/>
        <w:tabs>
          <w:tab w:val="clear" w:pos="720"/>
          <w:tab w:val="left" w:pos="1276" w:leader="none"/>
        </w:tabs>
        <w:ind w:left="1276" w:right="431" w:hanging="0"/>
        <w:jc w:val="both"/>
        <w:rPr>
          <w:rFonts w:ascii="Arial" w:hAnsi="Arial"/>
          <w:sz w:val="17"/>
        </w:rPr>
      </w:pPr>
      <w:r>
        <w:rPr/>
        <w:t>osob,</w:t>
      </w:r>
    </w:p>
    <w:p>
      <w:pPr>
        <w:pStyle w:val="ListParagraph"/>
        <w:numPr>
          <w:ilvl w:val="0"/>
          <w:numId w:val="10"/>
        </w:numPr>
        <w:tabs>
          <w:tab w:val="clear" w:pos="720"/>
          <w:tab w:val="left" w:pos="1276" w:leader="none"/>
        </w:tabs>
        <w:ind w:left="1276" w:right="431" w:hanging="360"/>
        <w:jc w:val="both"/>
        <w:rPr>
          <w:sz w:val="24"/>
        </w:rPr>
      </w:pPr>
      <w:r>
        <w:rPr>
          <w:sz w:val="24"/>
        </w:rPr>
        <w:t>označení profitujících</w:t>
      </w:r>
      <w:r>
        <w:rPr>
          <w:spacing w:val="-1"/>
          <w:sz w:val="24"/>
        </w:rPr>
        <w:t xml:space="preserve"> </w:t>
      </w:r>
      <w:r>
        <w:rPr>
          <w:sz w:val="24"/>
        </w:rPr>
        <w:t>osob,</w:t>
      </w:r>
    </w:p>
    <w:p>
      <w:pPr>
        <w:pStyle w:val="ListParagraph"/>
        <w:numPr>
          <w:ilvl w:val="0"/>
          <w:numId w:val="10"/>
        </w:numPr>
        <w:tabs>
          <w:tab w:val="clear" w:pos="720"/>
          <w:tab w:val="left" w:pos="1276" w:leader="none"/>
        </w:tabs>
        <w:ind w:left="1276" w:right="431" w:hanging="360"/>
        <w:jc w:val="both"/>
        <w:rPr>
          <w:sz w:val="24"/>
        </w:rPr>
      </w:pPr>
      <w:r>
        <w:rPr>
          <w:sz w:val="24"/>
        </w:rPr>
        <w:t>popis protiprávního jednání,</w:t>
      </w:r>
    </w:p>
    <w:p>
      <w:pPr>
        <w:pStyle w:val="ListParagraph"/>
        <w:numPr>
          <w:ilvl w:val="0"/>
          <w:numId w:val="10"/>
        </w:numPr>
        <w:tabs>
          <w:tab w:val="clear" w:pos="720"/>
          <w:tab w:val="left" w:pos="1276" w:leader="none"/>
        </w:tabs>
        <w:ind w:left="1276" w:right="431" w:hanging="360"/>
        <w:jc w:val="both"/>
        <w:rPr>
          <w:sz w:val="24"/>
        </w:rPr>
      </w:pPr>
      <w:r>
        <w:rPr>
          <w:sz w:val="24"/>
        </w:rPr>
        <w:t>konkrétní důkazy nebo poznatky podporující podezření ze spáchání protiprávního jednání.</w:t>
      </w:r>
    </w:p>
    <w:p>
      <w:pPr>
        <w:pStyle w:val="ListParagraph"/>
        <w:numPr>
          <w:ilvl w:val="3"/>
          <w:numId w:val="9"/>
        </w:numPr>
        <w:tabs>
          <w:tab w:val="clear" w:pos="720"/>
          <w:tab w:val="left" w:pos="567" w:leader="none"/>
          <w:tab w:val="left" w:pos="927" w:leader="none"/>
          <w:tab w:val="left" w:pos="1712" w:leader="none"/>
          <w:tab w:val="left" w:pos="2552" w:leader="none"/>
        </w:tabs>
        <w:spacing w:before="14" w:after="0"/>
        <w:ind w:left="567" w:right="431" w:hanging="360"/>
        <w:jc w:val="both"/>
        <w:rPr>
          <w:sz w:val="24"/>
          <w:szCs w:val="24"/>
        </w:rPr>
      </w:pPr>
      <w:r>
        <w:rPr>
          <w:sz w:val="24"/>
        </w:rPr>
        <w:t>Ohlašování podezření na zneužití prostředků z rozpočtu Evropského</w:t>
      </w:r>
      <w:r>
        <w:rPr>
          <w:spacing w:val="48"/>
          <w:sz w:val="24"/>
        </w:rPr>
        <w:t xml:space="preserve"> </w:t>
      </w:r>
      <w:r>
        <w:rPr>
          <w:sz w:val="24"/>
          <w:szCs w:val="24"/>
        </w:rPr>
        <w:t>společenství – k ohlašování slouží bezplatná telefonní linka 00 800 0105 2004 či využijte adresu:</w:t>
      </w:r>
    </w:p>
    <w:p>
      <w:pPr>
        <w:pStyle w:val="TextBody"/>
        <w:tabs>
          <w:tab w:val="clear" w:pos="720"/>
          <w:tab w:val="left" w:pos="567" w:leader="none"/>
          <w:tab w:val="left" w:pos="1712" w:leader="none"/>
          <w:tab w:val="left" w:pos="2552" w:leader="none"/>
        </w:tabs>
        <w:spacing w:before="14" w:after="0"/>
        <w:ind w:left="567" w:hanging="0"/>
        <w:jc w:val="both"/>
        <w:rPr>
          <w:rFonts w:ascii="Arial" w:hAnsi="Arial"/>
          <w:sz w:val="17"/>
        </w:rPr>
      </w:pPr>
      <w:r>
        <w:rPr/>
      </w:r>
    </w:p>
    <w:p>
      <w:pPr>
        <w:pStyle w:val="TextBody"/>
        <w:tabs>
          <w:tab w:val="clear" w:pos="720"/>
          <w:tab w:val="left" w:pos="567" w:leader="none"/>
          <w:tab w:val="left" w:pos="1712" w:leader="none"/>
          <w:tab w:val="left" w:pos="2552" w:leader="none"/>
        </w:tabs>
        <w:spacing w:before="14" w:after="0"/>
        <w:ind w:left="567" w:hanging="0"/>
        <w:jc w:val="both"/>
        <w:rPr>
          <w:rFonts w:ascii="Arial" w:hAnsi="Arial"/>
          <w:sz w:val="17"/>
        </w:rPr>
      </w:pPr>
      <w:r>
        <w:rPr/>
        <w:t xml:space="preserve">OLAF -Evropský úřad pro boj proti podvodům </w:t>
      </w:r>
    </w:p>
    <w:p>
      <w:pPr>
        <w:pStyle w:val="TextBody"/>
        <w:tabs>
          <w:tab w:val="clear" w:pos="720"/>
          <w:tab w:val="left" w:pos="567" w:leader="none"/>
          <w:tab w:val="left" w:pos="1712" w:leader="none"/>
          <w:tab w:val="left" w:pos="2552" w:leader="none"/>
        </w:tabs>
        <w:spacing w:before="14" w:after="0"/>
        <w:ind w:left="567" w:hanging="0"/>
        <w:jc w:val="both"/>
        <w:rPr>
          <w:rFonts w:ascii="Arial" w:hAnsi="Arial"/>
          <w:sz w:val="17"/>
        </w:rPr>
      </w:pPr>
      <w:r>
        <w:rPr/>
        <w:t xml:space="preserve">Evropská komise </w:t>
      </w:r>
    </w:p>
    <w:p>
      <w:pPr>
        <w:pStyle w:val="TextBody"/>
        <w:tabs>
          <w:tab w:val="clear" w:pos="720"/>
          <w:tab w:val="left" w:pos="567" w:leader="none"/>
          <w:tab w:val="left" w:pos="1712" w:leader="none"/>
          <w:tab w:val="left" w:pos="2552" w:leader="none"/>
        </w:tabs>
        <w:spacing w:before="14" w:after="0"/>
        <w:ind w:left="567" w:hanging="0"/>
        <w:jc w:val="both"/>
        <w:rPr>
          <w:rFonts w:ascii="Arial" w:hAnsi="Arial"/>
          <w:sz w:val="17"/>
        </w:rPr>
      </w:pPr>
      <w:r>
        <w:rPr/>
        <w:t xml:space="preserve">Rue Joseph II, </w:t>
      </w:r>
    </w:p>
    <w:p>
      <w:pPr>
        <w:pStyle w:val="TextBody"/>
        <w:tabs>
          <w:tab w:val="clear" w:pos="720"/>
          <w:tab w:val="left" w:pos="567" w:leader="none"/>
          <w:tab w:val="left" w:pos="1712" w:leader="none"/>
          <w:tab w:val="left" w:pos="2552" w:leader="none"/>
        </w:tabs>
        <w:spacing w:before="14" w:after="0"/>
        <w:ind w:left="567" w:hanging="0"/>
        <w:jc w:val="both"/>
        <w:rPr>
          <w:rFonts w:ascii="Arial" w:hAnsi="Arial"/>
          <w:sz w:val="17"/>
        </w:rPr>
      </w:pPr>
      <w:r>
        <w:rPr/>
        <w:t xml:space="preserve">301000 Bruxelles/Brussel </w:t>
      </w:r>
    </w:p>
    <w:p>
      <w:pPr>
        <w:pStyle w:val="TextBody"/>
        <w:tabs>
          <w:tab w:val="clear" w:pos="720"/>
          <w:tab w:val="left" w:pos="567" w:leader="none"/>
          <w:tab w:val="left" w:pos="1712" w:leader="none"/>
          <w:tab w:val="left" w:pos="2552" w:leader="none"/>
        </w:tabs>
        <w:spacing w:before="14" w:after="0"/>
        <w:ind w:left="567" w:hanging="0"/>
        <w:jc w:val="both"/>
        <w:rPr>
          <w:rFonts w:ascii="Arial" w:hAnsi="Arial"/>
          <w:sz w:val="17"/>
        </w:rPr>
      </w:pPr>
      <w:r>
        <w:rPr/>
        <w:t>Belgie</w:t>
      </w:r>
    </w:p>
    <w:p>
      <w:pPr>
        <w:pStyle w:val="TextBody"/>
        <w:tabs>
          <w:tab w:val="clear" w:pos="720"/>
          <w:tab w:val="left" w:pos="567" w:leader="none"/>
          <w:tab w:val="left" w:pos="1712" w:leader="none"/>
          <w:tab w:val="left" w:pos="2552" w:leader="none"/>
        </w:tabs>
        <w:spacing w:before="14" w:after="0"/>
        <w:jc w:val="both"/>
        <w:rPr>
          <w:rFonts w:ascii="Arial" w:hAnsi="Arial"/>
          <w:sz w:val="17"/>
        </w:rPr>
      </w:pPr>
      <w:r>
        <w:rPr/>
      </w:r>
    </w:p>
    <w:p>
      <w:pPr>
        <w:pStyle w:val="TextBody"/>
        <w:spacing w:before="10" w:after="0"/>
        <w:rPr>
          <w:sz w:val="10"/>
        </w:rPr>
      </w:pPr>
      <w:r>
        <w:rPr>
          <w:sz w:val="10"/>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623"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1.4.1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7" w:hanging="0"/>
              <w:jc w:val="both"/>
              <w:rPr>
                <w:sz w:val="24"/>
              </w:rPr>
            </w:pPr>
            <w:r>
              <w:rPr>
                <w:kern w:val="0"/>
                <w:sz w:val="24"/>
                <w:szCs w:val="22"/>
              </w:rPr>
              <w:t>Propagovat systém pro oznámení podezření na korupci.</w:t>
            </w:r>
          </w:p>
        </w:tc>
      </w:tr>
      <w:tr>
        <w:trPr>
          <w:trHeight w:val="518"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ind w:left="641" w:hanging="0"/>
              <w:jc w:val="left"/>
              <w:rPr>
                <w:sz w:val="24"/>
              </w:rPr>
            </w:pPr>
            <w:r>
              <w:rPr>
                <w:kern w:val="0"/>
                <w:sz w:val="24"/>
                <w:szCs w:val="22"/>
              </w:rPr>
              <w:t>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všichni vedoucí zaměstnanci, prošetřovatel</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spacing w:before="9" w:after="0"/>
        <w:rPr>
          <w:sz w:val="44"/>
        </w:rPr>
      </w:pPr>
      <w:r>
        <w:rPr>
          <w:sz w:val="44"/>
        </w:rPr>
      </w:r>
    </w:p>
    <w:p>
      <w:pPr>
        <w:pStyle w:val="Heading1"/>
        <w:numPr>
          <w:ilvl w:val="2"/>
          <w:numId w:val="8"/>
        </w:numPr>
        <w:tabs>
          <w:tab w:val="clear" w:pos="720"/>
          <w:tab w:val="left" w:pos="1069" w:leader="none"/>
        </w:tabs>
        <w:ind w:left="1068" w:hanging="709"/>
        <w:rPr>
          <w:rFonts w:ascii="Arial" w:hAnsi="Arial"/>
          <w:sz w:val="17"/>
        </w:rPr>
      </w:pPr>
      <w:bookmarkStart w:id="10" w:name="_bookmark9"/>
      <w:bookmarkEnd w:id="10"/>
      <w:r>
        <w:rPr/>
        <w:t>Ochrana</w:t>
      </w:r>
      <w:r>
        <w:rPr>
          <w:spacing w:val="-1"/>
        </w:rPr>
        <w:t xml:space="preserve"> </w:t>
      </w:r>
      <w:r>
        <w:rPr/>
        <w:t>oznamovatelů</w:t>
      </w:r>
    </w:p>
    <w:p>
      <w:pPr>
        <w:pStyle w:val="TextBody"/>
        <w:spacing w:before="116" w:after="0"/>
        <w:ind w:right="491" w:hanging="0"/>
        <w:jc w:val="both"/>
        <w:rPr>
          <w:rFonts w:ascii="Arial" w:hAnsi="Arial"/>
          <w:sz w:val="17"/>
        </w:rPr>
      </w:pPr>
      <w:r>
        <w:rPr/>
        <w:t>Osoba, která upozornila na možné korupční jednání, případně podala obdobnou stížnost, nesmí být přímo nebo nepřímo postihována nebo znevýhodňována. Vedení NK deklaruje a garantuje ochranu oznamovatelů, učiněné oznámení nebude postihováno. V rámci NK byly nastaveny postupy a pravidla, která zajišťují podporu a ochranu osobám, jež v dobré víře upozorňují na možné korupční jednání či jiné protiprávní nebo neetické jednání. Obdobně jsou chráněni i zaměstnanci, u kterých se v rámci posouzení pochybení neprokáže.</w:t>
      </w:r>
    </w:p>
    <w:p>
      <w:pPr>
        <w:pStyle w:val="TextBody"/>
        <w:spacing w:before="115" w:after="0"/>
        <w:ind w:right="491" w:hanging="0"/>
        <w:jc w:val="both"/>
        <w:rPr>
          <w:rFonts w:ascii="Arial" w:hAnsi="Arial"/>
          <w:sz w:val="17"/>
        </w:rPr>
      </w:pPr>
      <w:r>
        <w:rPr/>
        <w:t>Generální ředitel NK určil prošetřovatele, který přijímá oznámení a prošetřuje v nich obsažená podezření ze spáchání protiprávního jednání v NK. Jednou z nejdůležitějších povinností prošetřovatele je zajistit ochranu oznamovatele,  resp. utajit jeho totožnost v případě, že o to v oznámení</w:t>
      </w:r>
      <w:r>
        <w:rPr>
          <w:spacing w:val="-4"/>
        </w:rPr>
        <w:t xml:space="preserve"> </w:t>
      </w:r>
      <w:r>
        <w:rPr/>
        <w:t>požádá.</w:t>
      </w:r>
    </w:p>
    <w:p>
      <w:pPr>
        <w:pStyle w:val="TextBody"/>
        <w:rPr>
          <w:sz w:val="20"/>
        </w:rPr>
      </w:pPr>
      <w:r>
        <w:rPr>
          <w:sz w:val="20"/>
        </w:rPr>
      </w:r>
    </w:p>
    <w:p>
      <w:pPr>
        <w:pStyle w:val="TextBody"/>
        <w:spacing w:before="10" w:after="0"/>
        <w:rPr>
          <w:sz w:val="14"/>
        </w:rPr>
      </w:pPr>
      <w:r>
        <w:rPr>
          <w:sz w:val="14"/>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1.5.1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Zajišťovat ochranu oznamovatelů.</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prošetřovatel</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sz w:val="32"/>
        </w:rPr>
      </w:pPr>
      <w:r>
        <w:rPr>
          <w:sz w:val="32"/>
        </w:rPr>
      </w:r>
    </w:p>
    <w:p>
      <w:pPr>
        <w:pStyle w:val="Heading1"/>
        <w:numPr>
          <w:ilvl w:val="1"/>
          <w:numId w:val="4"/>
        </w:numPr>
        <w:tabs>
          <w:tab w:val="clear" w:pos="720"/>
          <w:tab w:val="left" w:pos="1071" w:leader="none"/>
        </w:tabs>
        <w:spacing w:before="267" w:after="0"/>
        <w:rPr>
          <w:rFonts w:ascii="Arial" w:hAnsi="Arial"/>
          <w:sz w:val="17"/>
        </w:rPr>
      </w:pPr>
      <w:bookmarkStart w:id="11" w:name="_bookmark10"/>
      <w:bookmarkEnd w:id="11"/>
      <w:r>
        <w:rPr>
          <w:u w:val="thick"/>
        </w:rPr>
        <w:t>Transparentnost</w:t>
      </w:r>
    </w:p>
    <w:p>
      <w:pPr>
        <w:pStyle w:val="TextBody"/>
        <w:spacing w:before="116" w:after="0"/>
        <w:ind w:right="493" w:hanging="0"/>
        <w:jc w:val="both"/>
        <w:rPr>
          <w:rFonts w:ascii="Arial" w:hAnsi="Arial"/>
          <w:sz w:val="17"/>
        </w:rPr>
      </w:pPr>
      <w:r>
        <w:rPr/>
        <w:t xml:space="preserve">Cíl: odrazovat od korupčního jednání prostřednictvím zvyšování pravděpodobnosti odhalení. </w:t>
      </w:r>
    </w:p>
    <w:p>
      <w:pPr>
        <w:pStyle w:val="TextBody"/>
        <w:spacing w:before="116" w:after="0"/>
        <w:ind w:right="493" w:hanging="0"/>
        <w:jc w:val="both"/>
        <w:rPr>
          <w:rFonts w:ascii="Arial" w:hAnsi="Arial"/>
          <w:sz w:val="17"/>
        </w:rPr>
      </w:pPr>
      <w:r>
        <w:rPr/>
        <w:t>Posilování transparentnosti zvyšuje veřejnou kontrolu hospodaření státu jak zaměstnanci, tak veřejností. NK zveřejňuje maximum relevantních informací na internetových stránkách, čímž působí preventivně proti možnému korupčnímu jednání. Zveřejňování informací je prováděno v souladu s právními předpisy a rozvíjí směrem k aktivnímu zpřístupňování informací o veřejných prostředcích a o struktuře a kompetencích při rozhodování organizace.</w:t>
      </w:r>
    </w:p>
    <w:p>
      <w:pPr>
        <w:pStyle w:val="TextBody"/>
        <w:rPr>
          <w:sz w:val="32"/>
        </w:rPr>
      </w:pPr>
      <w:r>
        <w:rPr>
          <w:sz w:val="32"/>
        </w:rPr>
      </w:r>
    </w:p>
    <w:p>
      <w:pPr>
        <w:pStyle w:val="Heading1"/>
        <w:numPr>
          <w:ilvl w:val="2"/>
          <w:numId w:val="4"/>
        </w:numPr>
        <w:tabs>
          <w:tab w:val="clear" w:pos="720"/>
          <w:tab w:val="left" w:pos="1068" w:leader="none"/>
          <w:tab w:val="left" w:pos="1069" w:leader="none"/>
        </w:tabs>
        <w:spacing w:before="273" w:after="0"/>
        <w:ind w:left="1068" w:hanging="709"/>
        <w:rPr>
          <w:rFonts w:ascii="Arial" w:hAnsi="Arial"/>
          <w:sz w:val="17"/>
        </w:rPr>
      </w:pPr>
      <w:bookmarkStart w:id="12" w:name="_bookmark11"/>
      <w:bookmarkEnd w:id="12"/>
      <w:r>
        <w:rPr/>
        <w:t>Zveřejňování informací o veřejných</w:t>
      </w:r>
      <w:r>
        <w:rPr>
          <w:spacing w:val="3"/>
        </w:rPr>
        <w:t xml:space="preserve"> </w:t>
      </w:r>
      <w:r>
        <w:rPr/>
        <w:t>prostředcích</w:t>
      </w:r>
    </w:p>
    <w:p>
      <w:pPr>
        <w:pStyle w:val="TextBody"/>
        <w:tabs>
          <w:tab w:val="clear" w:pos="720"/>
          <w:tab w:val="left" w:pos="2119" w:leader="none"/>
          <w:tab w:val="left" w:pos="3207" w:leader="none"/>
          <w:tab w:val="left" w:pos="4032" w:leader="none"/>
          <w:tab w:val="left" w:pos="5031" w:leader="none"/>
          <w:tab w:val="left" w:pos="6307" w:leader="none"/>
          <w:tab w:val="left" w:pos="7343" w:leader="none"/>
          <w:tab w:val="left" w:pos="7943" w:leader="none"/>
          <w:tab w:val="left" w:pos="8560" w:leader="none"/>
        </w:tabs>
        <w:spacing w:before="115" w:after="0"/>
        <w:ind w:right="492" w:hanging="0"/>
        <w:jc w:val="both"/>
        <w:rPr>
          <w:rFonts w:ascii="Arial" w:hAnsi="Arial"/>
          <w:sz w:val="17"/>
        </w:rPr>
      </w:pPr>
      <w:bookmarkStart w:id="13" w:name="_bookmark12"/>
      <w:bookmarkEnd w:id="13"/>
      <w:r>
        <w:rPr/>
        <w:t>Zveřejňování informací umožňuje veřejnou kontrolu hospodaření NK. Zvyšuje pravděpodobnost odhalení možného korupčního jednání a tím také od něj odrazuje. Na intranetových stránkách jsou pro zaměstnance přístupné a pravidelně zveřejňované informace o hospodaření s veřejnými prostředky:</w:t>
      </w:r>
    </w:p>
    <w:p>
      <w:pPr>
        <w:pStyle w:val="TextBody"/>
        <w:tabs>
          <w:tab w:val="clear" w:pos="720"/>
          <w:tab w:val="left" w:pos="2119" w:leader="none"/>
          <w:tab w:val="left" w:pos="3207" w:leader="none"/>
          <w:tab w:val="left" w:pos="4032" w:leader="none"/>
          <w:tab w:val="left" w:pos="5031" w:leader="none"/>
          <w:tab w:val="left" w:pos="6307" w:leader="none"/>
          <w:tab w:val="left" w:pos="7343" w:leader="none"/>
          <w:tab w:val="left" w:pos="7943" w:leader="none"/>
          <w:tab w:val="left" w:pos="8560" w:leader="none"/>
        </w:tabs>
        <w:spacing w:before="115" w:after="0"/>
        <w:ind w:right="492" w:hanging="0"/>
        <w:jc w:val="both"/>
        <w:rPr>
          <w:rFonts w:ascii="Arial" w:hAnsi="Arial"/>
          <w:sz w:val="17"/>
        </w:rPr>
      </w:pPr>
      <w:r>
        <w:rPr/>
      </w:r>
    </w:p>
    <w:p>
      <w:pPr>
        <w:pStyle w:val="ListParagraph"/>
        <w:numPr>
          <w:ilvl w:val="0"/>
          <w:numId w:val="3"/>
        </w:numPr>
        <w:tabs>
          <w:tab w:val="clear" w:pos="720"/>
          <w:tab w:val="left" w:pos="579" w:leader="none"/>
        </w:tabs>
        <w:spacing w:lineRule="auto" w:line="343" w:before="120" w:after="0"/>
        <w:ind w:left="578" w:right="1496" w:hanging="360"/>
        <w:rPr>
          <w:sz w:val="24"/>
        </w:rPr>
      </w:pPr>
      <w:r>
        <w:rPr>
          <w:sz w:val="24"/>
        </w:rPr>
        <w:t xml:space="preserve">Informace o schváleném rozpočtu NK: </w:t>
      </w:r>
    </w:p>
    <w:p>
      <w:pPr>
        <w:pStyle w:val="TextBody"/>
        <w:spacing w:lineRule="exact" w:line="274"/>
        <w:ind w:left="578" w:right="431" w:hanging="0"/>
        <w:jc w:val="both"/>
        <w:rPr>
          <w:rFonts w:ascii="Arial" w:hAnsi="Arial"/>
          <w:sz w:val="17"/>
        </w:rPr>
      </w:pPr>
      <w:r>
        <w:rPr/>
        <w:t>(za zveřejnění odpovídá po obsahové/věcné stránce ředitelka odboru ekonomiky a rozpočtu ve spolupráci s ředitelkou odboru komunikace po stránce technické)</w:t>
      </w:r>
    </w:p>
    <w:p>
      <w:pPr>
        <w:pStyle w:val="TextBody"/>
        <w:ind w:left="578" w:hanging="0"/>
        <w:rPr>
          <w:rFonts w:ascii="Arial" w:hAnsi="Arial"/>
          <w:sz w:val="17"/>
        </w:rPr>
      </w:pPr>
      <w:r>
        <w:rPr/>
      </w:r>
    </w:p>
    <w:p>
      <w:pPr>
        <w:pStyle w:val="ListParagraph"/>
        <w:numPr>
          <w:ilvl w:val="0"/>
          <w:numId w:val="3"/>
        </w:numPr>
        <w:tabs>
          <w:tab w:val="clear" w:pos="720"/>
          <w:tab w:val="left" w:pos="579" w:leader="none"/>
        </w:tabs>
        <w:spacing w:lineRule="auto" w:line="343" w:before="60" w:after="0"/>
        <w:ind w:left="578" w:right="4498" w:hanging="360"/>
        <w:rPr>
          <w:sz w:val="24"/>
        </w:rPr>
      </w:pPr>
      <w:r>
        <w:rPr>
          <w:sz w:val="24"/>
        </w:rPr>
        <w:t xml:space="preserve">Informace o nakládání s majetkem: </w:t>
      </w:r>
    </w:p>
    <w:p>
      <w:pPr>
        <w:pStyle w:val="TextBody"/>
        <w:spacing w:before="3" w:after="0"/>
        <w:ind w:left="578" w:right="541" w:hanging="0"/>
        <w:rPr>
          <w:rFonts w:ascii="Arial" w:hAnsi="Arial"/>
          <w:sz w:val="17"/>
        </w:rPr>
      </w:pPr>
      <w:hyperlink r:id="rId8">
        <w:r>
          <w:rPr>
            <w:rStyle w:val="InternetLink"/>
          </w:rPr>
          <w:t>Nabídka nepotřebného majetku — Národní knihovna České republiky (nkp.cz)</w:t>
        </w:r>
      </w:hyperlink>
    </w:p>
    <w:p>
      <w:pPr>
        <w:pStyle w:val="TextBody"/>
        <w:spacing w:before="3" w:after="0"/>
        <w:ind w:left="578" w:right="541" w:hanging="0"/>
        <w:rPr>
          <w:rFonts w:ascii="Arial" w:hAnsi="Arial"/>
          <w:sz w:val="17"/>
        </w:rPr>
      </w:pPr>
      <w:r>
        <w:rPr/>
      </w:r>
    </w:p>
    <w:p>
      <w:pPr>
        <w:pStyle w:val="TextBody"/>
        <w:tabs>
          <w:tab w:val="clear" w:pos="720"/>
          <w:tab w:val="left" w:pos="9498" w:leader="none"/>
        </w:tabs>
        <w:spacing w:before="3" w:after="0"/>
        <w:ind w:left="578" w:right="541" w:hanging="0"/>
        <w:jc w:val="both"/>
        <w:rPr>
          <w:rFonts w:ascii="Arial" w:hAnsi="Arial"/>
          <w:sz w:val="17"/>
        </w:rPr>
      </w:pPr>
      <w:r>
        <w:rPr/>
        <w:t>(za zveřejnění odpovídá po obsahové/věcné stránce ředitel odboru vnitřní správy ve spolupráci s ředitelkou odboru komunikace po stránce technické)</w:t>
      </w:r>
    </w:p>
    <w:p>
      <w:pPr>
        <w:pStyle w:val="ListParagraph"/>
        <w:numPr>
          <w:ilvl w:val="0"/>
          <w:numId w:val="3"/>
        </w:numPr>
        <w:tabs>
          <w:tab w:val="clear" w:pos="720"/>
          <w:tab w:val="left" w:pos="636" w:leader="none"/>
          <w:tab w:val="left" w:pos="637" w:leader="none"/>
        </w:tabs>
        <w:spacing w:lineRule="auto" w:line="343" w:before="120" w:after="0"/>
        <w:ind w:left="578" w:right="4498" w:hanging="360"/>
        <w:rPr>
          <w:sz w:val="24"/>
        </w:rPr>
      </w:pPr>
      <w:r>
        <w:rPr>
          <w:sz w:val="24"/>
        </w:rPr>
        <w:t xml:space="preserve">Veřejné zakázky (profil zadavatele): </w:t>
      </w:r>
    </w:p>
    <w:p>
      <w:pPr>
        <w:pStyle w:val="TextBody"/>
        <w:spacing w:before="3" w:after="0"/>
        <w:ind w:left="578" w:right="541" w:hanging="0"/>
        <w:rPr>
          <w:color w:val="000000" w:themeColor="text1"/>
        </w:rPr>
      </w:pPr>
      <w:hyperlink r:id="rId9">
        <w:r>
          <w:rPr>
            <w:rStyle w:val="InternetLink"/>
          </w:rPr>
          <w:t>https://nen.nipez.cz/profil/NKCR</w:t>
        </w:r>
      </w:hyperlink>
    </w:p>
    <w:p>
      <w:pPr>
        <w:pStyle w:val="TextBody"/>
        <w:spacing w:before="3" w:after="0"/>
        <w:ind w:left="578" w:right="541" w:hanging="0"/>
        <w:rPr>
          <w:color w:val="000000" w:themeColor="text1"/>
        </w:rPr>
      </w:pPr>
      <w:r>
        <w:rPr>
          <w:color w:val="000000" w:themeColor="text1"/>
        </w:rPr>
      </w:r>
    </w:p>
    <w:p>
      <w:pPr>
        <w:pStyle w:val="TextBody"/>
        <w:spacing w:before="3" w:after="0"/>
        <w:ind w:left="578" w:right="541" w:hanging="0"/>
        <w:jc w:val="both"/>
        <w:rPr>
          <w:color w:val="000000" w:themeColor="text1"/>
        </w:rPr>
      </w:pPr>
      <w:r>
        <w:rPr>
          <w:color w:val="000000" w:themeColor="text1"/>
        </w:rPr>
        <w:t>Od 1. července 2016 jsou v Registru smluv (https://smlouvy.gov.cz/) uveřejňovány smlouvy podle zákona č. 340/2015 Sb., o zvláštních podmínkách účinnosti některých smluv, uveřejňování těchto smluv a o registru smluv (zákon o registru smluv).</w:t>
      </w:r>
    </w:p>
    <w:p>
      <w:pPr>
        <w:pStyle w:val="TextBody"/>
        <w:spacing w:before="3" w:after="0"/>
        <w:ind w:left="578" w:right="541" w:hanging="0"/>
        <w:rPr>
          <w:rFonts w:ascii="Arial" w:hAnsi="Arial"/>
          <w:sz w:val="17"/>
        </w:rPr>
      </w:pPr>
      <w:r>
        <w:rPr/>
      </w:r>
    </w:p>
    <w:p>
      <w:pPr>
        <w:pStyle w:val="TextBody"/>
        <w:spacing w:before="3" w:after="0"/>
        <w:ind w:left="578" w:right="541" w:hanging="0"/>
        <w:rPr>
          <w:rFonts w:ascii="Arial" w:hAnsi="Arial"/>
          <w:sz w:val="17"/>
        </w:rPr>
      </w:pPr>
      <w:hyperlink r:id="rId10">
        <w:r>
          <w:rPr>
            <w:rStyle w:val="InternetLink"/>
          </w:rPr>
          <w:t>Veřejné zakázky — Národní knihovna České republiky (nkp.cz)</w:t>
        </w:r>
      </w:hyperlink>
    </w:p>
    <w:p>
      <w:pPr>
        <w:pStyle w:val="TextBody"/>
        <w:spacing w:before="3" w:after="0"/>
        <w:ind w:left="578" w:right="541" w:hanging="0"/>
        <w:rPr>
          <w:color w:val="FF0000"/>
        </w:rPr>
      </w:pPr>
      <w:r>
        <w:rPr/>
        <w:t>(za zveřejnění odpovídá ředitelka odboru veřejných zakázek a projektů ve spolupráci s věcně příslušnými úseky)</w:t>
      </w:r>
      <w:r>
        <w:rPr>
          <w:color w:val="FF0000"/>
        </w:rPr>
        <w:t xml:space="preserve"> </w:t>
      </w:r>
    </w:p>
    <w:p>
      <w:pPr>
        <w:pStyle w:val="TextBody"/>
        <w:spacing w:before="3" w:after="0"/>
        <w:ind w:left="578" w:right="541" w:hanging="0"/>
        <w:rPr>
          <w:color w:val="FF0000"/>
        </w:rPr>
      </w:pPr>
      <w:r>
        <w:rPr>
          <w:color w:val="FF0000"/>
        </w:rPr>
      </w:r>
    </w:p>
    <w:p>
      <w:pPr>
        <w:pStyle w:val="ListParagraph"/>
        <w:numPr>
          <w:ilvl w:val="0"/>
          <w:numId w:val="3"/>
        </w:numPr>
        <w:tabs>
          <w:tab w:val="clear" w:pos="720"/>
          <w:tab w:val="left" w:pos="578" w:leader="none"/>
          <w:tab w:val="left" w:pos="579" w:leader="none"/>
        </w:tabs>
        <w:spacing w:before="118" w:after="0"/>
        <w:ind w:left="578" w:right="490" w:hanging="360"/>
        <w:jc w:val="both"/>
        <w:rPr>
          <w:sz w:val="24"/>
        </w:rPr>
      </w:pPr>
      <w:r>
        <w:rPr>
          <w:sz w:val="24"/>
        </w:rPr>
        <w:t>Informace o poradcích a poradních orgánech se stavem k 31. prosinci a k 30. červnu kalendářního</w:t>
      </w:r>
      <w:r>
        <w:rPr>
          <w:spacing w:val="-1"/>
          <w:sz w:val="24"/>
        </w:rPr>
        <w:t xml:space="preserve"> </w:t>
      </w:r>
      <w:r>
        <w:rPr>
          <w:sz w:val="24"/>
        </w:rPr>
        <w:t>roku:</w:t>
      </w:r>
    </w:p>
    <w:p>
      <w:pPr>
        <w:pStyle w:val="TextBody"/>
        <w:spacing w:before="120" w:after="0"/>
        <w:ind w:left="578" w:right="431" w:hanging="0"/>
        <w:jc w:val="both"/>
        <w:rPr>
          <w:highlight w:val="yellow"/>
        </w:rPr>
      </w:pPr>
      <w:r>
        <w:rPr/>
        <w:t>V seznamu poradců se zveřejňují jména a příjmení poradců nebo název právnické osoby, sjednaná či smluvní odměna za činnost fyzických osob se zveřejňuje pouze se souhlasem daného poradce, sjednaná či smluvní odměna za výše uvedené činnosti jednotlivých právnických osob, celková částka vyplacená poradcům, není-li pouze jeden poradce fyzická osoba.</w:t>
      </w:r>
    </w:p>
    <w:p>
      <w:pPr>
        <w:pStyle w:val="TextBody"/>
        <w:spacing w:before="120" w:after="0"/>
        <w:ind w:left="578" w:right="431" w:hanging="0"/>
        <w:jc w:val="both"/>
        <w:rPr>
          <w:highlight w:val="yellow"/>
        </w:rPr>
      </w:pPr>
      <w:r>
        <w:rPr>
          <w:color w:val="000000" w:themeColor="text1"/>
        </w:rPr>
        <w:t>Údaje uvedené v seznamu jsou zveřejňovány v souladu s právním řádem České republiky, a právními předpisy Evropské unie. Zejména je nutný soulad s právními předpisy o ochraně osobních údajů, např. s nařízením Evropského parlamentu a Rady (EU) 2016/679 ze dne 27. dubna 2016 o ochraně fyzických osob v souvislosti se zpracováním osobních údajů a o volném pohybu těchto údajů a o zrušení směrnice 95/46/ES (obecné nařízení o ochraně osobních údajů), tzv. „GDPR“.</w:t>
      </w:r>
    </w:p>
    <w:p>
      <w:pPr>
        <w:pStyle w:val="TextBody"/>
        <w:spacing w:before="120" w:after="0"/>
        <w:ind w:left="578" w:right="431" w:hanging="0"/>
        <w:jc w:val="both"/>
        <w:rPr>
          <w:rFonts w:ascii="Arial" w:hAnsi="Arial"/>
          <w:sz w:val="17"/>
        </w:rPr>
      </w:pPr>
      <w:hyperlink r:id="rId11">
        <w:r>
          <w:rPr>
            <w:rStyle w:val="InternetLink"/>
          </w:rPr>
          <w:t>Protikorupční program — Národní knihovna České republiky (nkp.cz)</w:t>
        </w:r>
      </w:hyperlink>
    </w:p>
    <w:p>
      <w:pPr>
        <w:pStyle w:val="TextBody"/>
        <w:spacing w:before="120" w:after="0"/>
        <w:ind w:left="578" w:right="431" w:hanging="0"/>
        <w:jc w:val="both"/>
        <w:rPr>
          <w:rFonts w:ascii="Arial" w:hAnsi="Arial"/>
          <w:sz w:val="17"/>
        </w:rPr>
      </w:pPr>
      <w:r>
        <w:rPr/>
        <w:t>(za zveřejnění odpovídá ředitel odboru personální a mzdy po obsahové/věcné stránce ve spolupráci s ředitelkou odboru komunikace po stránce technické)</w:t>
      </w:r>
    </w:p>
    <w:p>
      <w:pPr>
        <w:pStyle w:val="TextBody"/>
        <w:spacing w:before="120" w:after="0"/>
        <w:ind w:left="578" w:hanging="0"/>
        <w:rPr>
          <w:color w:val="FF0000"/>
        </w:rPr>
      </w:pPr>
      <w:r>
        <w:rPr>
          <w:color w:val="FF0000"/>
        </w:rPr>
      </w:r>
    </w:p>
    <w:p>
      <w:pPr>
        <w:pStyle w:val="TextBody"/>
        <w:spacing w:before="10" w:after="0"/>
        <w:rPr>
          <w:sz w:val="10"/>
        </w:rPr>
      </w:pPr>
      <w:r>
        <w:rPr>
          <w:sz w:val="10"/>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2.1.1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aktualizovat zveřejňované informace NK.</w:t>
            </w:r>
          </w:p>
        </w:tc>
      </w:tr>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Vedoucí zaměstnanci příslušných sekcí a vedoucí zaměstnanci přímo podřízeni generálnímu řediteli NK</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2.1.2</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Upravit strukturu internetových stránek NK tak, aby byla zajištěna snazší</w:t>
            </w:r>
          </w:p>
          <w:p>
            <w:pPr>
              <w:pStyle w:val="TableParagraph"/>
              <w:widowControl w:val="false"/>
              <w:spacing w:before="0" w:after="0"/>
              <w:jc w:val="left"/>
              <w:rPr>
                <w:sz w:val="24"/>
              </w:rPr>
            </w:pPr>
            <w:r>
              <w:rPr>
                <w:kern w:val="0"/>
                <w:sz w:val="24"/>
                <w:szCs w:val="22"/>
              </w:rPr>
              <w:t>orientace a lepší přehlednost informací týkajících se boje s korupcí.</w:t>
            </w:r>
          </w:p>
        </w:tc>
      </w:tr>
      <w:tr>
        <w:trPr>
          <w:trHeight w:val="518"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jc w:val="left"/>
              <w:rPr>
                <w:sz w:val="24"/>
              </w:rPr>
            </w:pPr>
            <w:r>
              <w:rPr>
                <w:kern w:val="0"/>
                <w:sz w:val="24"/>
                <w:szCs w:val="22"/>
              </w:rPr>
              <w:t>ředitel odboru komunikace a ředitel odboru personální a mzdy</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spacing w:before="10" w:after="0"/>
        <w:rPr>
          <w:sz w:val="33"/>
        </w:rPr>
      </w:pPr>
      <w:r>
        <w:rPr>
          <w:sz w:val="33"/>
        </w:rPr>
      </w:r>
    </w:p>
    <w:p>
      <w:pPr>
        <w:pStyle w:val="Heading1"/>
        <w:numPr>
          <w:ilvl w:val="2"/>
          <w:numId w:val="4"/>
        </w:numPr>
        <w:tabs>
          <w:tab w:val="clear" w:pos="720"/>
          <w:tab w:val="left" w:pos="1068" w:leader="none"/>
          <w:tab w:val="left" w:pos="1069" w:leader="none"/>
        </w:tabs>
        <w:spacing w:before="120" w:after="0"/>
        <w:ind w:left="1068" w:hanging="709"/>
        <w:rPr>
          <w:rFonts w:ascii="Arial" w:hAnsi="Arial"/>
          <w:sz w:val="17"/>
        </w:rPr>
      </w:pPr>
      <w:r>
        <w:rPr/>
        <w:t>Zveřejňování informací o systému</w:t>
      </w:r>
      <w:r>
        <w:rPr>
          <w:spacing w:val="3"/>
        </w:rPr>
        <w:t xml:space="preserve"> </w:t>
      </w:r>
      <w:r>
        <w:rPr/>
        <w:t>rozhodování</w:t>
      </w:r>
    </w:p>
    <w:p>
      <w:pPr>
        <w:pStyle w:val="Normal"/>
        <w:tabs>
          <w:tab w:val="clear" w:pos="720"/>
          <w:tab w:val="left" w:pos="926" w:leader="none"/>
          <w:tab w:val="left" w:pos="927" w:leader="none"/>
          <w:tab w:val="left" w:pos="6358" w:leader="none"/>
          <w:tab w:val="left" w:pos="7592" w:leader="none"/>
        </w:tabs>
        <w:spacing w:before="116" w:after="0"/>
        <w:ind w:right="492" w:hanging="0"/>
        <w:jc w:val="both"/>
        <w:rPr>
          <w:sz w:val="24"/>
          <w:szCs w:val="24"/>
        </w:rPr>
      </w:pPr>
      <w:r>
        <w:rPr>
          <w:sz w:val="24"/>
          <w:szCs w:val="24"/>
        </w:rPr>
        <w:t>V rámci transparentního zpřístupňování informací o struktuře a kompetencích při rozhodování NK zveřejňuje jak informace o struktuře organizace (organizační schéma prostřednictvím zveřejněného Organizačního řádu), tak i telefonické a emailové kontakty na všechny zaměstnance, s vyznačením jejich funkce a postavení.</w:t>
      </w:r>
    </w:p>
    <w:p>
      <w:pPr>
        <w:pStyle w:val="ListParagraph"/>
        <w:numPr>
          <w:ilvl w:val="0"/>
          <w:numId w:val="2"/>
        </w:numPr>
        <w:tabs>
          <w:tab w:val="clear" w:pos="720"/>
          <w:tab w:val="left" w:pos="577" w:leader="none"/>
        </w:tabs>
        <w:spacing w:lineRule="auto" w:line="290" w:before="120" w:after="0"/>
        <w:ind w:left="576" w:right="289" w:hanging="360"/>
        <w:rPr>
          <w:sz w:val="24"/>
        </w:rPr>
      </w:pPr>
      <w:r>
        <w:rPr>
          <w:sz w:val="24"/>
        </w:rPr>
        <w:t>Organizační strukturu</w:t>
      </w:r>
      <w:r>
        <w:rPr>
          <w:sz w:val="24"/>
          <w:szCs w:val="24"/>
        </w:rPr>
        <w:t xml:space="preserve"> vyjadřující vztahy podřízenosti a nadřízenosti</w:t>
      </w:r>
      <w:r>
        <w:rPr>
          <w:sz w:val="24"/>
        </w:rPr>
        <w:t xml:space="preserve">: </w:t>
      </w:r>
    </w:p>
    <w:p>
      <w:pPr>
        <w:pStyle w:val="TextBody"/>
        <w:ind w:left="578" w:right="541" w:hanging="0"/>
        <w:rPr>
          <w:rFonts w:ascii="Arial" w:hAnsi="Arial"/>
          <w:sz w:val="17"/>
        </w:rPr>
      </w:pPr>
      <w:hyperlink r:id="rId12">
        <w:r>
          <w:rPr>
            <w:rStyle w:val="InternetLink"/>
          </w:rPr>
          <w:t>https://www.nkp.cz/soubory/ostatni/org-rad.pdf</w:t>
        </w:r>
      </w:hyperlink>
    </w:p>
    <w:p>
      <w:pPr>
        <w:pStyle w:val="TextBody"/>
        <w:ind w:left="578" w:right="541" w:hanging="0"/>
        <w:rPr>
          <w:rFonts w:ascii="Arial" w:hAnsi="Arial"/>
          <w:sz w:val="17"/>
        </w:rPr>
      </w:pPr>
      <w:hyperlink r:id="rId13">
        <w:r>
          <w:rPr>
            <w:rStyle w:val="InternetLink"/>
          </w:rPr>
          <w:t>https://nkp.cz/soubory/ostatni/org-rad-pril2.pdf</w:t>
        </w:r>
      </w:hyperlink>
    </w:p>
    <w:p>
      <w:pPr>
        <w:pStyle w:val="TextBody"/>
        <w:ind w:left="578" w:right="541" w:hanging="0"/>
        <w:rPr>
          <w:rFonts w:ascii="Arial" w:hAnsi="Arial"/>
          <w:sz w:val="17"/>
        </w:rPr>
      </w:pPr>
      <w:r>
        <w:rPr/>
      </w:r>
    </w:p>
    <w:p>
      <w:pPr>
        <w:pStyle w:val="TextBody"/>
        <w:ind w:left="578" w:right="541" w:hanging="0"/>
        <w:jc w:val="both"/>
        <w:rPr>
          <w:rFonts w:ascii="Arial" w:hAnsi="Arial"/>
          <w:sz w:val="17"/>
        </w:rPr>
      </w:pPr>
      <w:r>
        <w:rPr/>
        <w:t>(za zveřejnění odpovídá po obsahové/věcné stránce ředitel odboru personální a mzdy ve spolupráci s ředitelkou odboru komunikace po stránce technické)</w:t>
      </w:r>
    </w:p>
    <w:p>
      <w:pPr>
        <w:pStyle w:val="ListParagraph"/>
        <w:numPr>
          <w:ilvl w:val="0"/>
          <w:numId w:val="2"/>
        </w:numPr>
        <w:tabs>
          <w:tab w:val="clear" w:pos="720"/>
          <w:tab w:val="left" w:pos="636" w:leader="none"/>
          <w:tab w:val="left" w:pos="637" w:leader="none"/>
        </w:tabs>
        <w:spacing w:before="118" w:after="0"/>
        <w:ind w:left="576" w:right="495" w:hanging="360"/>
        <w:jc w:val="both"/>
        <w:rPr>
          <w:sz w:val="24"/>
        </w:rPr>
      </w:pPr>
      <w:r>
        <w:rPr>
          <w:sz w:val="24"/>
        </w:rPr>
        <w:t>Výroční zprávy o činnosti v oblasti poskytování informací a informace poskytnuté podle zákona č. 106/1999 Sb., o svobodném přístupu k informacím, ve znění pozdějších</w:t>
      </w:r>
      <w:r>
        <w:rPr>
          <w:spacing w:val="-7"/>
          <w:sz w:val="24"/>
        </w:rPr>
        <w:t xml:space="preserve"> </w:t>
      </w:r>
      <w:r>
        <w:rPr>
          <w:sz w:val="24"/>
        </w:rPr>
        <w:t>předpisů:</w:t>
      </w:r>
    </w:p>
    <w:p>
      <w:pPr>
        <w:pStyle w:val="TextBody"/>
        <w:spacing w:before="60" w:after="0"/>
        <w:ind w:left="576" w:hanging="0"/>
        <w:rPr>
          <w:rFonts w:ascii="Arial" w:hAnsi="Arial"/>
          <w:sz w:val="17"/>
        </w:rPr>
      </w:pPr>
      <w:hyperlink r:id="rId14">
        <w:r>
          <w:rPr>
            <w:rStyle w:val="InternetLink"/>
          </w:rPr>
          <w:t>Informace podle zákona č. 106/1999 Sb. — Národní knihovna České republiky (nkp.cz)</w:t>
        </w:r>
      </w:hyperlink>
      <w:r>
        <w:rPr/>
        <w:t xml:space="preserve"> </w:t>
      </w:r>
    </w:p>
    <w:p>
      <w:pPr>
        <w:pStyle w:val="TextBody"/>
        <w:spacing w:before="60" w:after="0"/>
        <w:ind w:left="576" w:hanging="0"/>
        <w:rPr>
          <w:rFonts w:ascii="Arial" w:hAnsi="Arial"/>
          <w:sz w:val="17"/>
        </w:rPr>
      </w:pPr>
      <w:r>
        <w:rPr/>
        <w:t>(za zveřejnění odpovídá ředitel odboru personální a mzdy)</w:t>
      </w:r>
    </w:p>
    <w:p>
      <w:pPr>
        <w:pStyle w:val="ListParagraph"/>
        <w:numPr>
          <w:ilvl w:val="0"/>
          <w:numId w:val="2"/>
        </w:numPr>
        <w:tabs>
          <w:tab w:val="clear" w:pos="720"/>
          <w:tab w:val="left" w:pos="926" w:leader="none"/>
          <w:tab w:val="left" w:pos="927" w:leader="none"/>
          <w:tab w:val="left" w:pos="6358" w:leader="none"/>
          <w:tab w:val="left" w:pos="7592" w:leader="none"/>
        </w:tabs>
        <w:spacing w:before="116" w:after="0"/>
        <w:ind w:left="576" w:right="492" w:hanging="360"/>
        <w:rPr>
          <w:sz w:val="24"/>
          <w:szCs w:val="24"/>
        </w:rPr>
      </w:pPr>
      <w:r>
        <w:rPr>
          <w:sz w:val="24"/>
          <w:szCs w:val="24"/>
        </w:rPr>
        <w:t>Telefonické a emailové kontakty na všechny zaměstnance, s vyznačením jejich zařazení.</w:t>
      </w:r>
    </w:p>
    <w:p>
      <w:pPr>
        <w:pStyle w:val="ListParagraph"/>
        <w:tabs>
          <w:tab w:val="clear" w:pos="720"/>
          <w:tab w:val="left" w:pos="577" w:leader="none"/>
        </w:tabs>
        <w:spacing w:before="120" w:after="0"/>
        <w:ind w:left="576" w:hanging="0"/>
        <w:rPr>
          <w:sz w:val="24"/>
          <w:szCs w:val="24"/>
        </w:rPr>
      </w:pPr>
      <w:hyperlink r:id="rId15">
        <w:r>
          <w:rPr>
            <w:rStyle w:val="InternetLink"/>
            <w:sz w:val="24"/>
            <w:szCs w:val="24"/>
          </w:rPr>
          <w:t>Telefonní a e-mailový seznam zaměstnanců NK ČR — Národní knihovna České republiky (nkp.cz)</w:t>
        </w:r>
      </w:hyperlink>
    </w:p>
    <w:p>
      <w:pPr>
        <w:pStyle w:val="TextBody"/>
        <w:spacing w:before="60" w:after="0"/>
        <w:ind w:left="576" w:hanging="0"/>
        <w:rPr>
          <w:rFonts w:ascii="Arial" w:hAnsi="Arial"/>
          <w:sz w:val="17"/>
        </w:rPr>
      </w:pPr>
      <w:r>
        <w:rPr/>
        <w:t>(za zveřejnění odpovídá ředitelka odboru komunikace)</w:t>
      </w:r>
    </w:p>
    <w:p>
      <w:pPr>
        <w:pStyle w:val="TextBody"/>
        <w:spacing w:before="60" w:after="0"/>
        <w:ind w:left="576" w:hanging="0"/>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517"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1" w:after="0"/>
              <w:jc w:val="left"/>
              <w:rPr>
                <w:b/>
                <w:b/>
                <w:sz w:val="24"/>
              </w:rPr>
            </w:pPr>
            <w:r>
              <w:rPr>
                <w:b/>
                <w:kern w:val="0"/>
                <w:sz w:val="24"/>
                <w:szCs w:val="22"/>
              </w:rPr>
              <w:t>Úkol č. 2.2.1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jc w:val="left"/>
              <w:rPr>
                <w:sz w:val="24"/>
              </w:rPr>
            </w:pPr>
            <w:r>
              <w:rPr>
                <w:kern w:val="0"/>
                <w:sz w:val="24"/>
                <w:szCs w:val="22"/>
              </w:rPr>
              <w:t>Průběžně aktualizovat zveřejňované informace o systému rozhodování</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vedoucí zaměstnanci</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rFonts w:ascii="Arial" w:hAnsi="Arial"/>
          <w:sz w:val="17"/>
        </w:rPr>
      </w:pPr>
      <w:r>
        <w:rPr/>
      </w:r>
    </w:p>
    <w:tbl>
      <w:tblPr>
        <w:tblStyle w:val="TableNormal"/>
        <w:tblW w:w="9465"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372"/>
      </w:tblGrid>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2.2.2</w:t>
            </w:r>
          </w:p>
        </w:tc>
        <w:tc>
          <w:tcPr>
            <w:tcW w:w="73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5" w:hanging="0"/>
              <w:jc w:val="left"/>
              <w:rPr>
                <w:sz w:val="24"/>
              </w:rPr>
            </w:pPr>
            <w:r>
              <w:rPr>
                <w:kern w:val="0"/>
                <w:sz w:val="24"/>
                <w:szCs w:val="22"/>
              </w:rPr>
              <w:t>Zveřejňovat a průběžně aktualizovat kontakty na zaměstnance.</w:t>
            </w:r>
          </w:p>
        </w:tc>
      </w:tr>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37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78" w:leader="none"/>
                <w:tab w:val="left" w:pos="1969" w:leader="none"/>
                <w:tab w:val="left" w:pos="3401" w:leader="none"/>
                <w:tab w:val="left" w:pos="3886" w:leader="none"/>
                <w:tab w:val="left" w:pos="5146" w:leader="none"/>
                <w:tab w:val="left" w:pos="6530" w:leader="none"/>
              </w:tabs>
              <w:spacing w:before="114" w:after="0"/>
              <w:ind w:left="108" w:right="95" w:hanging="0"/>
              <w:jc w:val="left"/>
              <w:rPr>
                <w:sz w:val="24"/>
              </w:rPr>
            </w:pPr>
            <w:r>
              <w:rPr>
                <w:kern w:val="0"/>
                <w:sz w:val="24"/>
                <w:szCs w:val="22"/>
              </w:rPr>
              <w:t>ředitelka</w:t>
              <w:tab/>
              <w:t>odboru</w:t>
              <w:tab/>
              <w:t>komunikace</w:t>
              <w:tab/>
              <w:t>ve</w:t>
              <w:tab/>
              <w:t>spolupráci</w:t>
              <w:tab/>
              <w:t>s</w:t>
            </w:r>
            <w:r>
              <w:rPr>
                <w:spacing w:val="-1"/>
                <w:kern w:val="0"/>
                <w:sz w:val="24"/>
                <w:szCs w:val="22"/>
              </w:rPr>
              <w:t xml:space="preserve"> náměstkyní sekce Digitalizace a technologie a </w:t>
            </w:r>
            <w:r>
              <w:rPr>
                <w:kern w:val="0"/>
                <w:sz w:val="24"/>
                <w:szCs w:val="22"/>
              </w:rPr>
              <w:t xml:space="preserve">ředitelem </w:t>
            </w:r>
            <w:r>
              <w:rPr>
                <w:spacing w:val="-3"/>
                <w:kern w:val="0"/>
                <w:sz w:val="24"/>
                <w:szCs w:val="22"/>
              </w:rPr>
              <w:t xml:space="preserve">odboru </w:t>
            </w:r>
            <w:r>
              <w:rPr>
                <w:kern w:val="0"/>
                <w:sz w:val="24"/>
                <w:szCs w:val="22"/>
              </w:rPr>
              <w:t>personální a mzdy</w:t>
            </w:r>
          </w:p>
        </w:tc>
      </w:tr>
      <w:tr>
        <w:trPr>
          <w:trHeight w:val="518"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3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rFonts w:ascii="Arial" w:hAnsi="Arial"/>
          <w:sz w:val="17"/>
        </w:rPr>
      </w:pPr>
      <w:r>
        <w:rPr/>
      </w:r>
    </w:p>
    <w:p>
      <w:pPr>
        <w:pStyle w:val="Heading1"/>
        <w:numPr>
          <w:ilvl w:val="2"/>
          <w:numId w:val="4"/>
        </w:numPr>
        <w:tabs>
          <w:tab w:val="clear" w:pos="720"/>
          <w:tab w:val="left" w:pos="1068" w:leader="none"/>
          <w:tab w:val="left" w:pos="1069" w:leader="none"/>
        </w:tabs>
        <w:spacing w:before="130" w:after="0"/>
        <w:ind w:left="1068" w:hanging="709"/>
        <w:rPr>
          <w:rFonts w:ascii="Arial" w:hAnsi="Arial"/>
          <w:sz w:val="17"/>
        </w:rPr>
      </w:pPr>
      <w:bookmarkStart w:id="14" w:name="_bookmark13"/>
      <w:bookmarkEnd w:id="14"/>
      <w:r>
        <w:rPr/>
        <w:t>Sjednocení umístění protikorupčních informací na internetových stránkách</w:t>
      </w:r>
      <w:r>
        <w:rPr>
          <w:spacing w:val="-5"/>
        </w:rPr>
        <w:t xml:space="preserve"> </w:t>
      </w:r>
      <w:r>
        <w:rPr/>
        <w:t>NK</w:t>
      </w:r>
    </w:p>
    <w:p>
      <w:pPr>
        <w:pStyle w:val="TextBody"/>
        <w:spacing w:before="115" w:after="0"/>
        <w:ind w:right="490" w:hanging="0"/>
        <w:jc w:val="both"/>
        <w:rPr>
          <w:rFonts w:ascii="Arial" w:hAnsi="Arial"/>
          <w:sz w:val="17"/>
        </w:rPr>
      </w:pPr>
      <w:r>
        <w:rPr/>
        <w:t>V rámci zvýšení transparentnosti NK sjednotilo místa na internetových stránkách,</w:t>
      </w:r>
      <w:r>
        <w:rPr>
          <w:spacing w:val="-5"/>
        </w:rPr>
        <w:t xml:space="preserve"> </w:t>
      </w:r>
      <w:r>
        <w:rPr/>
        <w:t>na kterých</w:t>
      </w:r>
      <w:r>
        <w:rPr>
          <w:spacing w:val="20"/>
        </w:rPr>
        <w:t xml:space="preserve"> </w:t>
      </w:r>
      <w:r>
        <w:rPr/>
        <w:t>je</w:t>
      </w:r>
      <w:r>
        <w:rPr>
          <w:spacing w:val="20"/>
        </w:rPr>
        <w:t xml:space="preserve"> </w:t>
      </w:r>
      <w:r>
        <w:rPr/>
        <w:t>umístěn</w:t>
      </w:r>
      <w:r>
        <w:rPr>
          <w:spacing w:val="20"/>
        </w:rPr>
        <w:t xml:space="preserve"> </w:t>
      </w:r>
      <w:r>
        <w:rPr/>
        <w:t>text</w:t>
      </w:r>
      <w:r>
        <w:rPr>
          <w:spacing w:val="19"/>
        </w:rPr>
        <w:t xml:space="preserve"> </w:t>
      </w:r>
      <w:r>
        <w:rPr/>
        <w:t>o</w:t>
      </w:r>
      <w:r>
        <w:rPr>
          <w:spacing w:val="20"/>
        </w:rPr>
        <w:t xml:space="preserve"> </w:t>
      </w:r>
      <w:r>
        <w:rPr/>
        <w:t>protikorupční</w:t>
      </w:r>
      <w:r>
        <w:rPr>
          <w:spacing w:val="21"/>
        </w:rPr>
        <w:t xml:space="preserve"> </w:t>
      </w:r>
      <w:r>
        <w:rPr/>
        <w:t>problematice</w:t>
      </w:r>
      <w:r>
        <w:rPr>
          <w:spacing w:val="18"/>
        </w:rPr>
        <w:t xml:space="preserve"> </w:t>
      </w:r>
      <w:r>
        <w:rPr/>
        <w:t>a</w:t>
      </w:r>
      <w:r>
        <w:rPr>
          <w:spacing w:val="24"/>
        </w:rPr>
        <w:t xml:space="preserve"> </w:t>
      </w:r>
      <w:r>
        <w:rPr/>
        <w:t>kde</w:t>
      </w:r>
      <w:r>
        <w:rPr>
          <w:spacing w:val="19"/>
        </w:rPr>
        <w:t xml:space="preserve"> </w:t>
      </w:r>
      <w:r>
        <w:rPr/>
        <w:t>jsou</w:t>
      </w:r>
      <w:r>
        <w:rPr>
          <w:spacing w:val="22"/>
        </w:rPr>
        <w:t xml:space="preserve"> </w:t>
      </w:r>
      <w:r>
        <w:rPr/>
        <w:t>zveřejněny</w:t>
      </w:r>
      <w:r>
        <w:rPr>
          <w:spacing w:val="15"/>
        </w:rPr>
        <w:t xml:space="preserve"> </w:t>
      </w:r>
      <w:r>
        <w:rPr/>
        <w:t>základní</w:t>
      </w:r>
      <w:r>
        <w:rPr>
          <w:spacing w:val="21"/>
        </w:rPr>
        <w:t xml:space="preserve"> </w:t>
      </w:r>
      <w:r>
        <w:rPr/>
        <w:t>informace o boji s korupcí v NK.</w:t>
      </w:r>
    </w:p>
    <w:p>
      <w:pPr>
        <w:pStyle w:val="TextBody"/>
        <w:spacing w:before="11" w:after="0"/>
        <w:rPr>
          <w:sz w:val="10"/>
        </w:rPr>
      </w:pPr>
      <w:r>
        <w:rPr>
          <w:sz w:val="10"/>
        </w:rPr>
      </w:r>
    </w:p>
    <w:p>
      <w:pPr>
        <w:pStyle w:val="TextBody"/>
        <w:rPr>
          <w:rFonts w:ascii="Arial" w:hAnsi="Arial"/>
          <w:sz w:val="17"/>
        </w:rPr>
      </w:pPr>
      <w:r>
        <w:rPr/>
      </w:r>
    </w:p>
    <w:tbl>
      <w:tblPr>
        <w:tblStyle w:val="TableNormal"/>
        <w:tblW w:w="9465"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372"/>
      </w:tblGrid>
      <w:tr>
        <w:trPr>
          <w:trHeight w:val="1962"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2.3.1</w:t>
            </w:r>
          </w:p>
        </w:tc>
        <w:tc>
          <w:tcPr>
            <w:tcW w:w="73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5" w:hanging="0"/>
              <w:jc w:val="left"/>
              <w:rPr>
                <w:sz w:val="24"/>
              </w:rPr>
            </w:pPr>
            <w:r>
              <w:rPr>
                <w:kern w:val="0"/>
                <w:sz w:val="24"/>
                <w:szCs w:val="22"/>
              </w:rPr>
              <w:t>Na internetové stránce NK věnované boji s korupcí zveřejnit jednotně základní údaje, a to:</w:t>
            </w:r>
          </w:p>
          <w:p>
            <w:pPr>
              <w:pStyle w:val="TableParagraph"/>
              <w:widowControl w:val="false"/>
              <w:numPr>
                <w:ilvl w:val="0"/>
                <w:numId w:val="1"/>
              </w:numPr>
              <w:tabs>
                <w:tab w:val="clear" w:pos="720"/>
                <w:tab w:val="left" w:pos="816" w:leader="none"/>
                <w:tab w:val="left" w:pos="817" w:leader="none"/>
              </w:tabs>
              <w:spacing w:lineRule="exact" w:line="293" w:before="0" w:after="0"/>
              <w:ind w:left="816" w:hanging="352"/>
              <w:jc w:val="left"/>
              <w:rPr>
                <w:sz w:val="24"/>
              </w:rPr>
            </w:pPr>
            <w:r>
              <w:rPr>
                <w:kern w:val="0"/>
                <w:sz w:val="24"/>
                <w:szCs w:val="22"/>
              </w:rPr>
              <w:t>interní protikorupční program;</w:t>
            </w:r>
          </w:p>
          <w:p>
            <w:pPr>
              <w:pStyle w:val="TableParagraph"/>
              <w:widowControl w:val="false"/>
              <w:numPr>
                <w:ilvl w:val="0"/>
                <w:numId w:val="1"/>
              </w:numPr>
              <w:tabs>
                <w:tab w:val="clear" w:pos="720"/>
                <w:tab w:val="left" w:pos="816" w:leader="none"/>
                <w:tab w:val="left" w:pos="817" w:leader="none"/>
              </w:tabs>
              <w:spacing w:lineRule="exact" w:line="293" w:before="0" w:after="0"/>
              <w:ind w:left="816" w:hanging="352"/>
              <w:jc w:val="left"/>
              <w:rPr>
                <w:sz w:val="24"/>
              </w:rPr>
            </w:pPr>
            <w:r>
              <w:rPr>
                <w:kern w:val="0"/>
                <w:sz w:val="24"/>
                <w:szCs w:val="22"/>
              </w:rPr>
              <w:t>etický kodex, etický kodex pro výzkumné pracovníky;</w:t>
            </w:r>
          </w:p>
          <w:p>
            <w:pPr>
              <w:pStyle w:val="TableParagraph"/>
              <w:widowControl w:val="false"/>
              <w:numPr>
                <w:ilvl w:val="0"/>
                <w:numId w:val="1"/>
              </w:numPr>
              <w:tabs>
                <w:tab w:val="clear" w:pos="720"/>
                <w:tab w:val="left" w:pos="816" w:leader="none"/>
                <w:tab w:val="left" w:pos="817" w:leader="none"/>
              </w:tabs>
              <w:spacing w:lineRule="exact" w:line="293" w:before="0" w:after="0"/>
              <w:ind w:left="816" w:hanging="352"/>
              <w:jc w:val="left"/>
              <w:rPr>
                <w:sz w:val="24"/>
              </w:rPr>
            </w:pPr>
            <w:r>
              <w:rPr>
                <w:kern w:val="0"/>
                <w:sz w:val="24"/>
                <w:szCs w:val="22"/>
              </w:rPr>
              <w:t>systém pro oznámení podezření na</w:t>
            </w:r>
            <w:r>
              <w:rPr>
                <w:spacing w:val="-1"/>
                <w:kern w:val="0"/>
                <w:sz w:val="24"/>
                <w:szCs w:val="22"/>
              </w:rPr>
              <w:t xml:space="preserve"> </w:t>
            </w:r>
            <w:r>
              <w:rPr>
                <w:kern w:val="0"/>
                <w:sz w:val="24"/>
                <w:szCs w:val="22"/>
              </w:rPr>
              <w:t>korupci;</w:t>
            </w:r>
          </w:p>
          <w:p>
            <w:pPr>
              <w:pStyle w:val="TableParagraph"/>
              <w:widowControl w:val="false"/>
              <w:numPr>
                <w:ilvl w:val="0"/>
                <w:numId w:val="1"/>
              </w:numPr>
              <w:tabs>
                <w:tab w:val="clear" w:pos="720"/>
                <w:tab w:val="left" w:pos="816" w:leader="none"/>
                <w:tab w:val="left" w:pos="817" w:leader="none"/>
              </w:tabs>
              <w:spacing w:lineRule="exact" w:line="293" w:before="0" w:after="0"/>
              <w:ind w:left="816" w:hanging="352"/>
              <w:jc w:val="left"/>
              <w:rPr>
                <w:sz w:val="24"/>
              </w:rPr>
            </w:pPr>
            <w:r>
              <w:rPr>
                <w:kern w:val="0"/>
                <w:sz w:val="24"/>
                <w:szCs w:val="22"/>
              </w:rPr>
              <w:t>seznam</w:t>
            </w:r>
            <w:r>
              <w:rPr>
                <w:spacing w:val="-1"/>
                <w:kern w:val="0"/>
                <w:sz w:val="24"/>
                <w:szCs w:val="22"/>
              </w:rPr>
              <w:t xml:space="preserve"> </w:t>
            </w:r>
            <w:r>
              <w:rPr>
                <w:kern w:val="0"/>
                <w:sz w:val="24"/>
                <w:szCs w:val="22"/>
              </w:rPr>
              <w:t>poradců.</w:t>
            </w:r>
          </w:p>
        </w:tc>
      </w:tr>
      <w:tr>
        <w:trPr>
          <w:trHeight w:val="517"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ind w:left="641" w:hanging="0"/>
              <w:jc w:val="left"/>
              <w:rPr>
                <w:sz w:val="24"/>
              </w:rPr>
            </w:pPr>
            <w:r>
              <w:rPr>
                <w:kern w:val="0"/>
                <w:sz w:val="24"/>
                <w:szCs w:val="22"/>
              </w:rPr>
              <w:t>Zodpovídá:</w:t>
            </w:r>
          </w:p>
        </w:tc>
        <w:tc>
          <w:tcPr>
            <w:tcW w:w="73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jc w:val="left"/>
              <w:rPr>
                <w:sz w:val="24"/>
              </w:rPr>
            </w:pPr>
            <w:r>
              <w:rPr>
                <w:kern w:val="0"/>
                <w:sz w:val="24"/>
                <w:szCs w:val="22"/>
              </w:rPr>
              <w:t>ředitel odboru personální a mzdy</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3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31. března t.r.</w:t>
            </w:r>
          </w:p>
        </w:tc>
      </w:tr>
    </w:tbl>
    <w:p>
      <w:pPr>
        <w:pStyle w:val="TextBody"/>
        <w:rPr>
          <w:sz w:val="32"/>
        </w:rPr>
      </w:pPr>
      <w:r>
        <w:rPr>
          <w:sz w:val="32"/>
        </w:rPr>
      </w:r>
    </w:p>
    <w:p>
      <w:pPr>
        <w:pStyle w:val="Heading1"/>
        <w:numPr>
          <w:ilvl w:val="1"/>
          <w:numId w:val="4"/>
        </w:numPr>
        <w:tabs>
          <w:tab w:val="clear" w:pos="720"/>
          <w:tab w:val="left" w:pos="1070" w:leader="none"/>
          <w:tab w:val="left" w:pos="1071" w:leader="none"/>
        </w:tabs>
        <w:spacing w:before="267" w:after="0"/>
        <w:rPr>
          <w:rFonts w:ascii="Arial" w:hAnsi="Arial"/>
          <w:sz w:val="17"/>
        </w:rPr>
      </w:pPr>
      <w:bookmarkStart w:id="15" w:name="_bookmark14"/>
      <w:bookmarkEnd w:id="15"/>
      <w:r>
        <w:rPr>
          <w:u w:val="thick"/>
        </w:rPr>
        <w:t>Řízení korupčních rizik a monitoring</w:t>
      </w:r>
      <w:r>
        <w:rPr>
          <w:spacing w:val="-1"/>
          <w:u w:val="thick"/>
        </w:rPr>
        <w:t xml:space="preserve"> </w:t>
      </w:r>
      <w:r>
        <w:rPr>
          <w:u w:val="thick"/>
        </w:rPr>
        <w:t>kontrol</w:t>
      </w:r>
    </w:p>
    <w:p>
      <w:pPr>
        <w:pStyle w:val="TextBody"/>
        <w:spacing w:before="115" w:after="0"/>
        <w:ind w:right="431" w:hanging="0"/>
        <w:jc w:val="both"/>
        <w:rPr>
          <w:rFonts w:ascii="Arial" w:hAnsi="Arial"/>
          <w:sz w:val="17"/>
        </w:rPr>
      </w:pPr>
      <w:r>
        <w:rPr/>
        <w:t>Aktivní řízení korupčních rizik napomáhá identifikovat oblasti se zvýšeným korupčním potenciálem, a prověřovat a posilovat existenci a funkčnost kontrolních mechanizmů v těchto oblastech s cílem minimalizovat škody na majetku</w:t>
      </w:r>
      <w:r>
        <w:rPr>
          <w:spacing w:val="-7"/>
        </w:rPr>
        <w:t xml:space="preserve"> </w:t>
      </w:r>
      <w:r>
        <w:rPr/>
        <w:t xml:space="preserve">státu. Jedná se o ty oblasti rozhodovacího procesu, kde při nedostatečně kvalitně nastaveném kontrolním a řídicím systému může docházet k nežádoucímu ovlivňování výsledku rozhodnutí. Řízení korupčních rizik představuje tři základní činnosti: hodnocení korupčních rizik, monitoring kontrolních a řídicích mechanismů a prošetřování rizikových oblastí. Pro řízení korupčních rizik, jehož cílem je nastavit účinné kontrolní mechanismy a zajistit efektivní odhalování korupčního jednání, bude vydán interní právní předpis, který v celistvosti bude řešit řízení všech rizik v NK.  </w:t>
      </w:r>
    </w:p>
    <w:p>
      <w:pPr>
        <w:pStyle w:val="TextBody"/>
        <w:spacing w:before="11" w:after="0"/>
        <w:rPr>
          <w:sz w:val="23"/>
        </w:rPr>
      </w:pPr>
      <w:r>
        <w:rPr>
          <w:sz w:val="23"/>
        </w:rPr>
      </w:r>
    </w:p>
    <w:p>
      <w:pPr>
        <w:pStyle w:val="Heading1"/>
        <w:numPr>
          <w:ilvl w:val="1"/>
          <w:numId w:val="4"/>
        </w:numPr>
        <w:tabs>
          <w:tab w:val="clear" w:pos="720"/>
          <w:tab w:val="left" w:pos="1071" w:leader="none"/>
        </w:tabs>
        <w:spacing w:before="129" w:after="0"/>
        <w:rPr>
          <w:rFonts w:ascii="Arial" w:hAnsi="Arial"/>
          <w:sz w:val="17"/>
        </w:rPr>
      </w:pPr>
      <w:bookmarkStart w:id="16" w:name="_bookmark18"/>
      <w:bookmarkEnd w:id="16"/>
      <w:r>
        <w:rPr>
          <w:u w:val="thick"/>
        </w:rPr>
        <w:t>Postup při podezření na korupci</w:t>
      </w:r>
    </w:p>
    <w:p>
      <w:pPr>
        <w:pStyle w:val="TextBody"/>
        <w:spacing w:before="116" w:after="0"/>
        <w:ind w:right="494" w:hanging="0"/>
        <w:jc w:val="both"/>
        <w:rPr>
          <w:rFonts w:ascii="Arial" w:hAnsi="Arial"/>
          <w:sz w:val="17"/>
        </w:rPr>
      </w:pPr>
      <w:r>
        <w:rPr/>
        <w:t>Cílem nastavení správných postupů při zjištění podezření na korupci je minimalizovat ztráty způsobené korupčním jednáním a zabránit opakování obdobného korupčního scénáře. Bezodkladná reakce na podezření z korupčního jednání zvyšuje pravděpodobnost jeho úspěšného prověření a důkladná analýza příčin vzniku korupčního jednání je pak zásadní pro posílení preventivních mechanizmů, které sníží riziko</w:t>
      </w:r>
      <w:r>
        <w:rPr>
          <w:spacing w:val="-3"/>
        </w:rPr>
        <w:t xml:space="preserve"> </w:t>
      </w:r>
      <w:r>
        <w:rPr/>
        <w:t>korupce.</w:t>
      </w:r>
    </w:p>
    <w:p>
      <w:pPr>
        <w:pStyle w:val="Heading1"/>
        <w:numPr>
          <w:ilvl w:val="2"/>
          <w:numId w:val="4"/>
        </w:numPr>
        <w:tabs>
          <w:tab w:val="clear" w:pos="720"/>
          <w:tab w:val="left" w:pos="1069" w:leader="none"/>
        </w:tabs>
        <w:spacing w:before="245" w:after="0"/>
        <w:ind w:left="1068" w:hanging="709"/>
        <w:rPr>
          <w:rFonts w:ascii="Arial" w:hAnsi="Arial"/>
          <w:sz w:val="17"/>
        </w:rPr>
      </w:pPr>
      <w:bookmarkStart w:id="17" w:name="_bookmark19"/>
      <w:bookmarkEnd w:id="17"/>
      <w:r>
        <w:rPr/>
        <w:t>Postupy při prošetřování podezření na</w:t>
      </w:r>
      <w:r>
        <w:rPr>
          <w:spacing w:val="-1"/>
        </w:rPr>
        <w:t xml:space="preserve"> </w:t>
      </w:r>
      <w:r>
        <w:rPr/>
        <w:t>korupci</w:t>
      </w:r>
    </w:p>
    <w:p>
      <w:pPr>
        <w:pStyle w:val="TextBody"/>
        <w:spacing w:before="115" w:after="0"/>
        <w:ind w:right="495" w:hanging="0"/>
        <w:jc w:val="both"/>
        <w:rPr>
          <w:rFonts w:ascii="Arial" w:hAnsi="Arial"/>
          <w:sz w:val="17"/>
        </w:rPr>
      </w:pPr>
      <w:r>
        <w:rPr/>
        <w:t>NK implementovalo do své struktury Směrnici Evropského parlamentu a rady (EU) 2019/1937 ze dne 23. října 2019 o ochraně osob, které oznamují porušení práva</w:t>
      </w:r>
      <w:r>
        <w:rPr>
          <w:rFonts w:cs="Arial" w:ascii="Arial" w:hAnsi="Arial"/>
          <w:color w:val="696969"/>
          <w:sz w:val="22"/>
          <w:szCs w:val="22"/>
          <w:shd w:fill="F1F1F1" w:val="clear"/>
        </w:rPr>
        <w:t xml:space="preserve"> </w:t>
      </w:r>
      <w:r>
        <w:rPr/>
        <w:t xml:space="preserve">Unie tím, že </w:t>
      </w:r>
      <w:r>
        <w:rPr>
          <w:spacing w:val="-2"/>
        </w:rPr>
        <w:t xml:space="preserve">byl </w:t>
      </w:r>
      <w:r>
        <w:rPr/>
        <w:t>určen prošetřovatel oznámení na podezření ze spáchání protiprávního jednání v NK, mezi které patří také korupční</w:t>
      </w:r>
      <w:r>
        <w:rPr>
          <w:spacing w:val="-4"/>
        </w:rPr>
        <w:t xml:space="preserve"> </w:t>
      </w:r>
      <w:r>
        <w:rPr/>
        <w:t>jednání.</w:t>
      </w:r>
    </w:p>
    <w:p>
      <w:pPr>
        <w:pStyle w:val="TextBody"/>
        <w:spacing w:before="120" w:after="0"/>
        <w:jc w:val="both"/>
        <w:rPr>
          <w:rFonts w:ascii="Arial" w:hAnsi="Arial"/>
          <w:sz w:val="17"/>
        </w:rPr>
      </w:pPr>
      <w:r>
        <w:rPr/>
        <w:t>Postupy při prošetřování podezření na korupci je možné členit na:</w:t>
      </w:r>
    </w:p>
    <w:p>
      <w:pPr>
        <w:pStyle w:val="ListParagraph"/>
        <w:numPr>
          <w:ilvl w:val="3"/>
          <w:numId w:val="4"/>
        </w:numPr>
        <w:tabs>
          <w:tab w:val="clear" w:pos="720"/>
          <w:tab w:val="left" w:pos="1285" w:leader="none"/>
        </w:tabs>
        <w:spacing w:before="120" w:after="0"/>
        <w:ind w:left="709" w:hanging="349"/>
        <w:rPr>
          <w:sz w:val="24"/>
        </w:rPr>
      </w:pPr>
      <w:r>
        <w:rPr>
          <w:sz w:val="24"/>
        </w:rPr>
        <w:t>sběr podnětů a</w:t>
      </w:r>
      <w:r>
        <w:rPr>
          <w:spacing w:val="-1"/>
          <w:sz w:val="24"/>
        </w:rPr>
        <w:t xml:space="preserve"> </w:t>
      </w:r>
      <w:r>
        <w:rPr>
          <w:sz w:val="24"/>
        </w:rPr>
        <w:t>podezření,</w:t>
      </w:r>
    </w:p>
    <w:p>
      <w:pPr>
        <w:pStyle w:val="ListParagraph"/>
        <w:numPr>
          <w:ilvl w:val="3"/>
          <w:numId w:val="4"/>
        </w:numPr>
        <w:tabs>
          <w:tab w:val="clear" w:pos="720"/>
          <w:tab w:val="left" w:pos="1285" w:leader="none"/>
        </w:tabs>
        <w:spacing w:before="61" w:after="0"/>
        <w:ind w:left="709" w:hanging="349"/>
        <w:rPr>
          <w:sz w:val="24"/>
        </w:rPr>
      </w:pPr>
      <w:r>
        <w:rPr>
          <w:sz w:val="24"/>
        </w:rPr>
        <w:t>posouzení podezření,</w:t>
      </w:r>
    </w:p>
    <w:p>
      <w:pPr>
        <w:pStyle w:val="ListParagraph"/>
        <w:numPr>
          <w:ilvl w:val="3"/>
          <w:numId w:val="4"/>
        </w:numPr>
        <w:tabs>
          <w:tab w:val="clear" w:pos="720"/>
          <w:tab w:val="left" w:pos="1285" w:leader="none"/>
        </w:tabs>
        <w:spacing w:before="59" w:after="0"/>
        <w:ind w:left="709" w:hanging="349"/>
        <w:rPr>
          <w:sz w:val="24"/>
        </w:rPr>
      </w:pPr>
      <w:r>
        <w:rPr>
          <w:sz w:val="24"/>
        </w:rPr>
        <w:t>plán postupu</w:t>
      </w:r>
      <w:r>
        <w:rPr>
          <w:spacing w:val="-1"/>
          <w:sz w:val="24"/>
        </w:rPr>
        <w:t xml:space="preserve"> </w:t>
      </w:r>
      <w:r>
        <w:rPr>
          <w:sz w:val="24"/>
        </w:rPr>
        <w:t>prošetření:</w:t>
      </w:r>
    </w:p>
    <w:p>
      <w:pPr>
        <w:pStyle w:val="ListParagraph"/>
        <w:numPr>
          <w:ilvl w:val="4"/>
          <w:numId w:val="4"/>
        </w:numPr>
        <w:tabs>
          <w:tab w:val="clear" w:pos="720"/>
          <w:tab w:val="left" w:pos="2005" w:leader="none"/>
        </w:tabs>
        <w:spacing w:before="59" w:after="0"/>
        <w:ind w:left="1276" w:hanging="337"/>
        <w:rPr>
          <w:sz w:val="24"/>
        </w:rPr>
      </w:pPr>
      <w:r>
        <w:rPr>
          <w:sz w:val="24"/>
        </w:rPr>
        <w:t>zabránění dalším</w:t>
      </w:r>
      <w:r>
        <w:rPr>
          <w:spacing w:val="-1"/>
          <w:sz w:val="24"/>
        </w:rPr>
        <w:t xml:space="preserve"> </w:t>
      </w:r>
      <w:r>
        <w:rPr>
          <w:sz w:val="24"/>
        </w:rPr>
        <w:t>škodám,</w:t>
      </w:r>
    </w:p>
    <w:p>
      <w:pPr>
        <w:pStyle w:val="ListParagraph"/>
        <w:numPr>
          <w:ilvl w:val="4"/>
          <w:numId w:val="4"/>
        </w:numPr>
        <w:tabs>
          <w:tab w:val="clear" w:pos="720"/>
          <w:tab w:val="left" w:pos="2005" w:leader="none"/>
        </w:tabs>
        <w:spacing w:before="40" w:after="0"/>
        <w:ind w:left="1276" w:hanging="337"/>
        <w:rPr>
          <w:sz w:val="24"/>
        </w:rPr>
      </w:pPr>
      <w:r>
        <w:rPr>
          <w:sz w:val="24"/>
        </w:rPr>
        <w:t>ochránění důkazů,</w:t>
      </w:r>
    </w:p>
    <w:p>
      <w:pPr>
        <w:pStyle w:val="ListParagraph"/>
        <w:numPr>
          <w:ilvl w:val="4"/>
          <w:numId w:val="4"/>
        </w:numPr>
        <w:tabs>
          <w:tab w:val="clear" w:pos="720"/>
          <w:tab w:val="left" w:pos="2005" w:leader="none"/>
        </w:tabs>
        <w:spacing w:before="40" w:after="0"/>
        <w:ind w:left="1276" w:hanging="337"/>
        <w:rPr>
          <w:sz w:val="24"/>
        </w:rPr>
      </w:pPr>
      <w:r>
        <w:rPr>
          <w:sz w:val="24"/>
        </w:rPr>
        <w:t>minimalizace vnitřních</w:t>
      </w:r>
      <w:r>
        <w:rPr>
          <w:spacing w:val="-2"/>
          <w:sz w:val="24"/>
        </w:rPr>
        <w:t xml:space="preserve"> </w:t>
      </w:r>
      <w:r>
        <w:rPr>
          <w:sz w:val="24"/>
        </w:rPr>
        <w:t>konfliktů,</w:t>
      </w:r>
    </w:p>
    <w:p>
      <w:pPr>
        <w:pStyle w:val="ListParagraph"/>
        <w:numPr>
          <w:ilvl w:val="4"/>
          <w:numId w:val="4"/>
        </w:numPr>
        <w:tabs>
          <w:tab w:val="clear" w:pos="720"/>
          <w:tab w:val="left" w:pos="2005" w:leader="none"/>
        </w:tabs>
        <w:spacing w:before="40" w:after="0"/>
        <w:ind w:left="1276" w:hanging="337"/>
        <w:rPr>
          <w:sz w:val="24"/>
        </w:rPr>
      </w:pPr>
      <w:r>
        <w:rPr>
          <w:sz w:val="24"/>
        </w:rPr>
        <w:t>vymáhání</w:t>
      </w:r>
      <w:r>
        <w:rPr>
          <w:spacing w:val="-1"/>
          <w:sz w:val="24"/>
        </w:rPr>
        <w:t xml:space="preserve"> </w:t>
      </w:r>
      <w:r>
        <w:rPr>
          <w:sz w:val="24"/>
        </w:rPr>
        <w:t>škody,</w:t>
      </w:r>
    </w:p>
    <w:p>
      <w:pPr>
        <w:pStyle w:val="ListParagraph"/>
        <w:numPr>
          <w:ilvl w:val="4"/>
          <w:numId w:val="4"/>
        </w:numPr>
        <w:tabs>
          <w:tab w:val="clear" w:pos="720"/>
          <w:tab w:val="left" w:pos="2005" w:leader="none"/>
        </w:tabs>
        <w:spacing w:before="40" w:after="0"/>
        <w:ind w:left="1276" w:hanging="337"/>
        <w:rPr>
          <w:sz w:val="24"/>
        </w:rPr>
      </w:pPr>
      <w:r>
        <w:rPr>
          <w:sz w:val="24"/>
        </w:rPr>
        <w:t>poučení z korupčních</w:t>
      </w:r>
      <w:r>
        <w:rPr>
          <w:spacing w:val="1"/>
          <w:sz w:val="24"/>
        </w:rPr>
        <w:t xml:space="preserve"> </w:t>
      </w:r>
      <w:r>
        <w:rPr>
          <w:sz w:val="24"/>
        </w:rPr>
        <w:t>kauz,</w:t>
      </w:r>
    </w:p>
    <w:p>
      <w:pPr>
        <w:pStyle w:val="ListParagraph"/>
        <w:numPr>
          <w:ilvl w:val="3"/>
          <w:numId w:val="4"/>
        </w:numPr>
        <w:tabs>
          <w:tab w:val="clear" w:pos="720"/>
          <w:tab w:val="left" w:pos="1283" w:leader="none"/>
        </w:tabs>
        <w:spacing w:before="39" w:after="0"/>
        <w:ind w:left="709" w:hanging="351"/>
        <w:rPr>
          <w:sz w:val="24"/>
        </w:rPr>
      </w:pPr>
      <w:r>
        <w:rPr>
          <w:sz w:val="24"/>
        </w:rPr>
        <w:t>prošetřování</w:t>
      </w:r>
      <w:r>
        <w:rPr>
          <w:spacing w:val="-1"/>
          <w:sz w:val="24"/>
        </w:rPr>
        <w:t xml:space="preserve"> </w:t>
      </w:r>
      <w:r>
        <w:rPr>
          <w:sz w:val="24"/>
        </w:rPr>
        <w:t>podezření:</w:t>
      </w:r>
    </w:p>
    <w:p>
      <w:pPr>
        <w:pStyle w:val="ListParagraph"/>
        <w:numPr>
          <w:ilvl w:val="4"/>
          <w:numId w:val="4"/>
        </w:numPr>
        <w:tabs>
          <w:tab w:val="clear" w:pos="720"/>
          <w:tab w:val="left" w:pos="2005" w:leader="none"/>
        </w:tabs>
        <w:spacing w:before="60" w:after="0"/>
        <w:ind w:left="1276" w:hanging="337"/>
        <w:rPr>
          <w:sz w:val="24"/>
        </w:rPr>
      </w:pPr>
      <w:r>
        <w:rPr>
          <w:sz w:val="24"/>
        </w:rPr>
        <w:t>v průběhu šetření nezveřejňovat žádné</w:t>
      </w:r>
      <w:r>
        <w:rPr>
          <w:spacing w:val="-2"/>
          <w:sz w:val="24"/>
        </w:rPr>
        <w:t xml:space="preserve"> </w:t>
      </w:r>
      <w:r>
        <w:rPr>
          <w:sz w:val="24"/>
        </w:rPr>
        <w:t>informace,</w:t>
      </w:r>
    </w:p>
    <w:p>
      <w:pPr>
        <w:pStyle w:val="ListParagraph"/>
        <w:numPr>
          <w:ilvl w:val="4"/>
          <w:numId w:val="4"/>
        </w:numPr>
        <w:tabs>
          <w:tab w:val="clear" w:pos="720"/>
          <w:tab w:val="left" w:pos="2005" w:leader="none"/>
        </w:tabs>
        <w:spacing w:before="40" w:after="0"/>
        <w:ind w:left="1276" w:hanging="337"/>
        <w:rPr>
          <w:sz w:val="24"/>
        </w:rPr>
      </w:pPr>
      <w:r>
        <w:rPr>
          <w:sz w:val="24"/>
        </w:rPr>
        <w:t>zdokladování všech informací (podkladů, které je možné</w:t>
      </w:r>
      <w:r>
        <w:rPr>
          <w:spacing w:val="-2"/>
          <w:sz w:val="24"/>
        </w:rPr>
        <w:t xml:space="preserve"> </w:t>
      </w:r>
      <w:r>
        <w:rPr>
          <w:sz w:val="24"/>
        </w:rPr>
        <w:t>použít),</w:t>
      </w:r>
    </w:p>
    <w:p>
      <w:pPr>
        <w:pStyle w:val="ListParagraph"/>
        <w:numPr>
          <w:ilvl w:val="4"/>
          <w:numId w:val="4"/>
        </w:numPr>
        <w:tabs>
          <w:tab w:val="clear" w:pos="720"/>
          <w:tab w:val="left" w:pos="2005" w:leader="none"/>
        </w:tabs>
        <w:spacing w:before="39" w:after="0"/>
        <w:ind w:left="1276" w:hanging="337"/>
        <w:rPr>
          <w:sz w:val="24"/>
        </w:rPr>
      </w:pPr>
      <w:r>
        <w:rPr>
          <w:sz w:val="24"/>
        </w:rPr>
        <w:t>disciplinární</w:t>
      </w:r>
      <w:r>
        <w:rPr>
          <w:spacing w:val="-1"/>
          <w:sz w:val="24"/>
        </w:rPr>
        <w:t xml:space="preserve"> </w:t>
      </w:r>
      <w:r>
        <w:rPr>
          <w:sz w:val="24"/>
        </w:rPr>
        <w:t>opatření,</w:t>
      </w:r>
    </w:p>
    <w:p>
      <w:pPr>
        <w:pStyle w:val="ListParagraph"/>
        <w:numPr>
          <w:ilvl w:val="4"/>
          <w:numId w:val="4"/>
        </w:numPr>
        <w:tabs>
          <w:tab w:val="clear" w:pos="720"/>
          <w:tab w:val="left" w:pos="2005" w:leader="none"/>
        </w:tabs>
        <w:spacing w:before="40" w:after="0"/>
        <w:ind w:left="1276" w:hanging="337"/>
        <w:rPr>
          <w:sz w:val="24"/>
        </w:rPr>
      </w:pPr>
      <w:r>
        <w:rPr>
          <w:sz w:val="24"/>
        </w:rPr>
        <w:t>zveřejnění výsledků</w:t>
      </w:r>
      <w:r>
        <w:rPr>
          <w:spacing w:val="-1"/>
          <w:sz w:val="24"/>
        </w:rPr>
        <w:t xml:space="preserve"> </w:t>
      </w:r>
      <w:r>
        <w:rPr>
          <w:sz w:val="24"/>
        </w:rPr>
        <w:t>šetření,</w:t>
      </w:r>
    </w:p>
    <w:p>
      <w:pPr>
        <w:pStyle w:val="ListParagraph"/>
        <w:numPr>
          <w:ilvl w:val="4"/>
          <w:numId w:val="4"/>
        </w:numPr>
        <w:tabs>
          <w:tab w:val="clear" w:pos="720"/>
          <w:tab w:val="left" w:pos="2005" w:leader="none"/>
        </w:tabs>
        <w:spacing w:before="40" w:after="0"/>
        <w:ind w:left="1276" w:hanging="337"/>
        <w:rPr>
          <w:sz w:val="24"/>
        </w:rPr>
      </w:pPr>
      <w:r>
        <w:rPr>
          <w:sz w:val="24"/>
        </w:rPr>
        <w:t>informování policie v případě podezření ze spáchání trestného</w:t>
      </w:r>
      <w:r>
        <w:rPr>
          <w:spacing w:val="-4"/>
          <w:sz w:val="24"/>
        </w:rPr>
        <w:t xml:space="preserve"> </w:t>
      </w:r>
      <w:r>
        <w:rPr>
          <w:sz w:val="24"/>
        </w:rPr>
        <w:t>činu,</w:t>
      </w:r>
    </w:p>
    <w:p>
      <w:pPr>
        <w:pStyle w:val="ListParagraph"/>
        <w:numPr>
          <w:ilvl w:val="4"/>
          <w:numId w:val="4"/>
        </w:numPr>
        <w:tabs>
          <w:tab w:val="clear" w:pos="720"/>
          <w:tab w:val="left" w:pos="2005" w:leader="none"/>
        </w:tabs>
        <w:spacing w:before="40" w:after="0"/>
        <w:ind w:left="1276" w:hanging="337"/>
        <w:rPr>
          <w:sz w:val="24"/>
        </w:rPr>
      </w:pPr>
      <w:r>
        <w:rPr>
          <w:sz w:val="24"/>
        </w:rPr>
        <w:t>stanovení koordinátora pro jednání s</w:t>
      </w:r>
      <w:r>
        <w:rPr>
          <w:spacing w:val="-2"/>
          <w:sz w:val="24"/>
        </w:rPr>
        <w:t xml:space="preserve"> </w:t>
      </w:r>
      <w:r>
        <w:rPr>
          <w:sz w:val="24"/>
        </w:rPr>
        <w:t>policií.</w:t>
      </w:r>
    </w:p>
    <w:p>
      <w:pPr>
        <w:pStyle w:val="TextBody"/>
        <w:spacing w:before="8" w:after="1"/>
        <w:rPr>
          <w:sz w:val="22"/>
        </w:rPr>
      </w:pPr>
      <w:r>
        <w:rPr>
          <w:sz w:val="22"/>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jc w:val="left"/>
              <w:rPr>
                <w:b/>
                <w:b/>
                <w:sz w:val="24"/>
              </w:rPr>
            </w:pPr>
            <w:r>
              <w:rPr>
                <w:b/>
                <w:kern w:val="0"/>
                <w:sz w:val="24"/>
                <w:szCs w:val="22"/>
              </w:rPr>
              <w:t>Úkol č. 4.1.1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Realizovat pro zaměstnance NK seminář k činnosti prošetřovatele – každým rokem vybraná skupina zaměstnanců.</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prošetřovatel, vedoucí oddělení vzdělávání</w:t>
            </w:r>
          </w:p>
        </w:tc>
      </w:tr>
      <w:tr>
        <w:trPr>
          <w:trHeight w:val="518"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min. 1x ročně</w:t>
            </w:r>
          </w:p>
        </w:tc>
      </w:tr>
    </w:tbl>
    <w:p>
      <w:pPr>
        <w:pStyle w:val="TextBody"/>
        <w:spacing w:before="6" w:after="0"/>
        <w:rPr>
          <w:sz w:val="10"/>
        </w:rPr>
      </w:pPr>
      <w:r>
        <w:rPr>
          <w:sz w:val="10"/>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792"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6" w:after="0"/>
              <w:jc w:val="left"/>
              <w:rPr>
                <w:b/>
                <w:b/>
                <w:sz w:val="24"/>
              </w:rPr>
            </w:pPr>
            <w:r>
              <w:rPr>
                <w:b/>
                <w:kern w:val="0"/>
                <w:sz w:val="24"/>
                <w:szCs w:val="22"/>
              </w:rPr>
              <w:t>Úkol č. 4.1.2</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Vydat interní právní předpis upravující bližší podmínky výkonu činnosti prošetřovatele v NK.</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generální ředitel NK</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leden 2022 – tento úkol byl již splněn</w:t>
            </w:r>
          </w:p>
        </w:tc>
      </w:tr>
    </w:tbl>
    <w:p>
      <w:pPr>
        <w:pStyle w:val="TextBody"/>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1069"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 w:after="0"/>
              <w:ind w:left="0" w:hanging="0"/>
              <w:jc w:val="left"/>
              <w:rPr>
                <w:sz w:val="34"/>
              </w:rPr>
            </w:pPr>
            <w:r>
              <w:rPr>
                <w:kern w:val="0"/>
                <w:sz w:val="22"/>
                <w:szCs w:val="22"/>
              </w:rPr>
            </w:r>
          </w:p>
          <w:p>
            <w:pPr>
              <w:pStyle w:val="TableParagraph"/>
              <w:widowControl w:val="false"/>
              <w:spacing w:before="0" w:after="0"/>
              <w:jc w:val="left"/>
              <w:rPr>
                <w:b/>
                <w:b/>
                <w:sz w:val="24"/>
              </w:rPr>
            </w:pPr>
            <w:r>
              <w:rPr>
                <w:b/>
                <w:kern w:val="0"/>
                <w:sz w:val="24"/>
                <w:szCs w:val="22"/>
              </w:rPr>
              <w:t>Úkol č. 4.1.3</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ind w:left="108" w:right="97" w:hanging="0"/>
              <w:jc w:val="left"/>
              <w:rPr>
                <w:sz w:val="24"/>
              </w:rPr>
            </w:pPr>
            <w:r>
              <w:rPr>
                <w:kern w:val="0"/>
                <w:sz w:val="24"/>
                <w:szCs w:val="22"/>
              </w:rPr>
              <w:t>Zajistit u nových zaměstnanců informovanost o možnostech podat oznámení na podezření ze spáchání korupčního jednání ve služebním úřadu.</w:t>
            </w:r>
          </w:p>
        </w:tc>
      </w:tr>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1"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 xml:space="preserve">ředitel odboru personální a mzdy, prošetřovatel </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TextBody"/>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8" w:after="0"/>
              <w:jc w:val="left"/>
              <w:rPr>
                <w:b/>
                <w:b/>
                <w:sz w:val="24"/>
              </w:rPr>
            </w:pPr>
            <w:r>
              <w:rPr>
                <w:b/>
                <w:kern w:val="0"/>
                <w:sz w:val="24"/>
                <w:szCs w:val="22"/>
              </w:rPr>
              <w:t>Úkol č. 4.1.4</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38" w:leader="none"/>
                <w:tab w:val="left" w:pos="2064" w:leader="none"/>
                <w:tab w:val="left" w:pos="3043" w:leader="none"/>
                <w:tab w:val="left" w:pos="3527" w:leader="none"/>
                <w:tab w:val="left" w:pos="4947" w:leader="none"/>
                <w:tab w:val="left" w:pos="6111" w:leader="none"/>
                <w:tab w:val="left" w:pos="6557" w:leader="none"/>
              </w:tabs>
              <w:spacing w:before="114" w:after="0"/>
              <w:jc w:val="left"/>
              <w:rPr>
                <w:sz w:val="24"/>
              </w:rPr>
            </w:pPr>
            <w:r>
              <w:rPr>
                <w:kern w:val="0"/>
                <w:sz w:val="24"/>
                <w:szCs w:val="22"/>
              </w:rPr>
              <w:t>Ověřit</w:t>
              <w:tab/>
              <w:t>nastavení</w:t>
              <w:tab/>
              <w:t>postupů</w:t>
              <w:tab/>
              <w:t>při</w:t>
              <w:tab/>
              <w:t>prošetřování</w:t>
              <w:tab/>
              <w:t>podezření</w:t>
              <w:tab/>
              <w:t>na</w:t>
              <w:tab/>
              <w:t>korupci</w:t>
            </w:r>
          </w:p>
          <w:p>
            <w:pPr>
              <w:pStyle w:val="TableParagraph"/>
              <w:widowControl w:val="false"/>
              <w:spacing w:before="0" w:after="0"/>
              <w:jc w:val="left"/>
              <w:rPr>
                <w:sz w:val="24"/>
              </w:rPr>
            </w:pPr>
            <w:r>
              <w:rPr>
                <w:kern w:val="0"/>
                <w:sz w:val="24"/>
                <w:szCs w:val="22"/>
              </w:rPr>
              <w:t>a k minimalizaci vzniklých škod.</w:t>
            </w:r>
          </w:p>
        </w:tc>
      </w:tr>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3"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prošetřovatel, vedoucí zaměstnanci sekcí a vedoucí zaměstnanci přímo podřízeni generálnímu řediteli NK</w:t>
            </w:r>
          </w:p>
        </w:tc>
      </w:tr>
      <w:tr>
        <w:trPr>
          <w:trHeight w:val="518"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jc w:val="left"/>
              <w:rPr>
                <w:sz w:val="24"/>
              </w:rPr>
            </w:pPr>
            <w:r>
              <w:rPr>
                <w:kern w:val="0"/>
                <w:sz w:val="24"/>
                <w:szCs w:val="22"/>
              </w:rPr>
              <w:t>min. 1x ročně</w:t>
            </w:r>
          </w:p>
        </w:tc>
      </w:tr>
    </w:tbl>
    <w:p>
      <w:pPr>
        <w:pStyle w:val="TextBody"/>
        <w:rPr>
          <w:sz w:val="20"/>
        </w:rPr>
      </w:pPr>
      <w:r>
        <w:rPr>
          <w:sz w:val="20"/>
        </w:rPr>
      </w:r>
    </w:p>
    <w:p>
      <w:pPr>
        <w:pStyle w:val="Heading1"/>
        <w:numPr>
          <w:ilvl w:val="2"/>
          <w:numId w:val="4"/>
        </w:numPr>
        <w:tabs>
          <w:tab w:val="clear" w:pos="720"/>
          <w:tab w:val="left" w:pos="1068" w:leader="none"/>
          <w:tab w:val="left" w:pos="1069" w:leader="none"/>
        </w:tabs>
        <w:spacing w:before="285" w:after="0"/>
        <w:ind w:left="1068" w:hanging="709"/>
        <w:rPr>
          <w:rFonts w:ascii="Arial" w:hAnsi="Arial"/>
          <w:sz w:val="17"/>
        </w:rPr>
      </w:pPr>
      <w:bookmarkStart w:id="18" w:name="_bookmark20"/>
      <w:bookmarkEnd w:id="18"/>
      <w:r>
        <w:rPr/>
        <w:t>Následná</w:t>
      </w:r>
      <w:r>
        <w:rPr>
          <w:spacing w:val="-1"/>
        </w:rPr>
        <w:t xml:space="preserve"> </w:t>
      </w:r>
      <w:r>
        <w:rPr/>
        <w:t>opatření</w:t>
      </w:r>
    </w:p>
    <w:p>
      <w:pPr>
        <w:pStyle w:val="TextBody"/>
        <w:ind w:right="539" w:hanging="0"/>
        <w:jc w:val="both"/>
        <w:rPr>
          <w:rFonts w:ascii="Arial" w:hAnsi="Arial"/>
          <w:sz w:val="17"/>
        </w:rPr>
      </w:pPr>
      <w:r>
        <w:rPr/>
        <w:t>Realizace opatření, která omezí opakování korupčního jednání či zajistí jeho včasné odhalení v budoucnu. Na základě prokázaného korupčního jednání jsou k jeho eliminaci přijímána opatření zaměřená zejména:</w:t>
      </w:r>
    </w:p>
    <w:p>
      <w:pPr>
        <w:pStyle w:val="TextBody"/>
        <w:numPr>
          <w:ilvl w:val="0"/>
          <w:numId w:val="11"/>
        </w:numPr>
        <w:ind w:left="720" w:right="539" w:hanging="360"/>
        <w:rPr>
          <w:rFonts w:ascii="Arial" w:hAnsi="Arial"/>
          <w:sz w:val="17"/>
        </w:rPr>
      </w:pPr>
      <w:r>
        <w:rPr/>
        <w:t xml:space="preserve">na oblast úpravy vnitřních předpisů, </w:t>
      </w:r>
    </w:p>
    <w:p>
      <w:pPr>
        <w:pStyle w:val="TextBody"/>
        <w:numPr>
          <w:ilvl w:val="0"/>
          <w:numId w:val="11"/>
        </w:numPr>
        <w:ind w:left="720" w:right="539" w:hanging="360"/>
        <w:rPr>
          <w:rFonts w:ascii="Arial" w:hAnsi="Arial"/>
          <w:sz w:val="17"/>
        </w:rPr>
      </w:pPr>
      <w:r>
        <w:rPr/>
        <w:t>řešení vzniklých škod,</w:t>
      </w:r>
    </w:p>
    <w:p>
      <w:pPr>
        <w:pStyle w:val="TextBody"/>
        <w:numPr>
          <w:ilvl w:val="0"/>
          <w:numId w:val="11"/>
        </w:numPr>
        <w:ind w:left="720" w:right="539" w:hanging="360"/>
        <w:rPr>
          <w:rFonts w:ascii="Arial" w:hAnsi="Arial"/>
          <w:sz w:val="17"/>
        </w:rPr>
      </w:pPr>
      <w:r>
        <w:rPr/>
        <w:t>disciplinární opatření.</w:t>
      </w:r>
    </w:p>
    <w:p>
      <w:pPr>
        <w:pStyle w:val="TextBody"/>
        <w:ind w:left="720" w:right="539" w:hanging="0"/>
        <w:rPr>
          <w:rFonts w:ascii="Arial" w:hAnsi="Arial"/>
          <w:sz w:val="17"/>
        </w:rPr>
      </w:pPr>
      <w:r>
        <w:rPr/>
      </w:r>
    </w:p>
    <w:p>
      <w:pPr>
        <w:pStyle w:val="TextBody"/>
        <w:ind w:right="539" w:hanging="0"/>
        <w:jc w:val="both"/>
        <w:rPr>
          <w:rFonts w:ascii="Arial" w:hAnsi="Arial"/>
          <w:sz w:val="17"/>
        </w:rPr>
      </w:pPr>
      <w:r>
        <w:rPr/>
        <w:t>Je také stanovena osobní a funkční odpovědnost zaměstnanců, včetně vyvození osobních postihů. Generální ředitel NK určuje rámec nápravných opatření, osoby odpovědné za jejich navržení a provedení a v případě disciplinárního opatření schvaluje jejich obsah.</w:t>
      </w:r>
    </w:p>
    <w:p>
      <w:pPr>
        <w:pStyle w:val="TextBody"/>
        <w:spacing w:before="115" w:after="0"/>
        <w:ind w:right="541" w:hanging="0"/>
        <w:rPr>
          <w:rFonts w:ascii="Arial" w:hAnsi="Arial"/>
          <w:sz w:val="17"/>
        </w:rPr>
      </w:pPr>
      <w:r>
        <w:rPr/>
      </w:r>
    </w:p>
    <w:p>
      <w:pPr>
        <w:pStyle w:val="TextBody"/>
        <w:spacing w:before="10" w:after="0"/>
        <w:rPr>
          <w:sz w:val="10"/>
        </w:rPr>
      </w:pPr>
      <w:r>
        <w:rPr>
          <w:sz w:val="10"/>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5" w:after="0"/>
              <w:jc w:val="left"/>
              <w:rPr>
                <w:b/>
                <w:b/>
                <w:sz w:val="24"/>
              </w:rPr>
            </w:pPr>
            <w:r>
              <w:rPr>
                <w:b/>
                <w:kern w:val="0"/>
                <w:sz w:val="24"/>
                <w:szCs w:val="22"/>
              </w:rPr>
              <w:t>Úkol č. 4.2.1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140" w:hanging="0"/>
              <w:jc w:val="left"/>
              <w:rPr>
                <w:sz w:val="24"/>
              </w:rPr>
            </w:pPr>
            <w:r>
              <w:rPr>
                <w:kern w:val="0"/>
                <w:sz w:val="24"/>
                <w:szCs w:val="22"/>
              </w:rPr>
              <w:t>V případě zjištění korupčního jednání realizovat opatření pro omezení jeho opakování a pro zajištění jeho včasného</w:t>
            </w:r>
            <w:r>
              <w:rPr>
                <w:spacing w:val="-1"/>
                <w:kern w:val="0"/>
                <w:sz w:val="24"/>
                <w:szCs w:val="22"/>
              </w:rPr>
              <w:t xml:space="preserve"> </w:t>
            </w:r>
            <w:r>
              <w:rPr>
                <w:kern w:val="0"/>
                <w:sz w:val="24"/>
                <w:szCs w:val="22"/>
              </w:rPr>
              <w:t>odhalení.</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všichni vedoucí zaměstnanci</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Normal"/>
        <w:rPr>
          <w:sz w:val="24"/>
        </w:rPr>
      </w:pPr>
      <w:r>
        <w:rPr>
          <w:sz w:val="24"/>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791"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5" w:after="0"/>
              <w:jc w:val="left"/>
              <w:rPr>
                <w:b/>
                <w:b/>
                <w:sz w:val="24"/>
              </w:rPr>
            </w:pPr>
            <w:r>
              <w:rPr>
                <w:b/>
                <w:kern w:val="0"/>
                <w:sz w:val="24"/>
                <w:szCs w:val="22"/>
              </w:rPr>
              <w:t>Úkol č. 4.2.2</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140" w:hanging="0"/>
              <w:jc w:val="left"/>
              <w:rPr>
                <w:sz w:val="24"/>
              </w:rPr>
            </w:pPr>
            <w:r>
              <w:rPr>
                <w:kern w:val="0"/>
                <w:sz w:val="24"/>
                <w:szCs w:val="22"/>
              </w:rPr>
              <w:t>Minimalizovat ztráty způsobené korupčním jednáním a zabránit výskytu dalšího obdobného jednání</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všichni vedoucí zaměstnanci</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průběžně, trvale</w:t>
            </w:r>
          </w:p>
        </w:tc>
      </w:tr>
    </w:tbl>
    <w:p>
      <w:pPr>
        <w:pStyle w:val="Normal"/>
        <w:rPr>
          <w:sz w:val="24"/>
        </w:rPr>
      </w:pPr>
      <w:r>
        <w:rPr>
          <w:sz w:val="24"/>
        </w:rPr>
      </w:r>
    </w:p>
    <w:p>
      <w:pPr>
        <w:pStyle w:val="Normal"/>
        <w:rPr>
          <w:sz w:val="24"/>
        </w:rPr>
      </w:pPr>
      <w:r>
        <w:rPr>
          <w:sz w:val="24"/>
        </w:rPr>
      </w:r>
    </w:p>
    <w:p>
      <w:pPr>
        <w:pStyle w:val="Heading1"/>
        <w:numPr>
          <w:ilvl w:val="1"/>
          <w:numId w:val="4"/>
        </w:numPr>
        <w:tabs>
          <w:tab w:val="clear" w:pos="720"/>
          <w:tab w:val="left" w:pos="1071" w:leader="none"/>
        </w:tabs>
        <w:spacing w:before="120" w:after="0"/>
        <w:rPr>
          <w:rFonts w:ascii="Arial" w:hAnsi="Arial"/>
          <w:sz w:val="17"/>
        </w:rPr>
      </w:pPr>
      <w:bookmarkStart w:id="19" w:name="_bookmark21"/>
      <w:bookmarkEnd w:id="19"/>
      <w:r>
        <w:rPr>
          <w:u w:val="thick"/>
        </w:rPr>
        <w:t>Vyhodnocování Interního protikorupčního programu</w:t>
      </w:r>
    </w:p>
    <w:p>
      <w:pPr>
        <w:pStyle w:val="TextBody"/>
        <w:spacing w:before="116" w:after="0"/>
        <w:ind w:right="492" w:hanging="0"/>
        <w:jc w:val="both"/>
        <w:rPr>
          <w:rFonts w:ascii="Arial" w:hAnsi="Arial"/>
          <w:sz w:val="17"/>
        </w:rPr>
      </w:pPr>
      <w:r>
        <w:rPr/>
        <w:t xml:space="preserve">Cílem je zdokonalovat Interní protikorupční program a umožnit koordinaci protikorupčních aktivit. Prvním krokem je shromáždění údajů a vyhodnocení Interního protikorupčního programu, zejména jeho účinnosti. </w:t>
      </w:r>
    </w:p>
    <w:p>
      <w:pPr>
        <w:pStyle w:val="TextBody"/>
        <w:spacing w:before="116" w:after="0"/>
        <w:ind w:right="492" w:hanging="0"/>
        <w:jc w:val="both"/>
        <w:rPr>
          <w:rFonts w:ascii="Arial" w:hAnsi="Arial"/>
          <w:sz w:val="17"/>
        </w:rPr>
      </w:pPr>
      <w:r>
        <w:rPr/>
        <w:t xml:space="preserve">Vyhodnocení účinnosti Interního protikorupčního programu ve dvouletých cyklech (v sudých letech) umožňuje pravidelnou a podrobnou analýzu protikorupčních opatření a jejich vylepšení. </w:t>
      </w:r>
    </w:p>
    <w:p>
      <w:pPr>
        <w:pStyle w:val="TextBody"/>
        <w:spacing w:before="116" w:after="0"/>
        <w:ind w:right="492" w:hanging="0"/>
        <w:jc w:val="both"/>
        <w:rPr>
          <w:rFonts w:ascii="Arial" w:hAnsi="Arial"/>
          <w:sz w:val="17"/>
        </w:rPr>
      </w:pPr>
      <w:r>
        <w:rPr/>
        <w:t>Vyhodnocení účinnosti Interního protikorupčního programu je zaměřeno na plnění všech jeho částí (jak kvalitativně, tak i kvantitativně), na účinnost tohoto plnění a na implementaci nápravných opatření. Shromáždění údajů na úrovni organizačních útvarů je prováděno k 31. prosinci. Termín, ke kterému bude prováděno každoroční pravidelné vyhodnocení interního protikorupčního programu sekcemi a přímo řízenými odbory NK, je taktéž stanoven k 31. prosinci.</w:t>
      </w:r>
    </w:p>
    <w:p>
      <w:pPr>
        <w:pStyle w:val="TextBody"/>
        <w:spacing w:before="116" w:after="0"/>
        <w:ind w:right="492" w:hanging="0"/>
        <w:jc w:val="both"/>
        <w:rPr>
          <w:rFonts w:ascii="Arial" w:hAnsi="Arial"/>
          <w:sz w:val="17"/>
        </w:rPr>
      </w:pPr>
      <w:r>
        <w:rPr/>
      </w:r>
    </w:p>
    <w:p>
      <w:pPr>
        <w:pStyle w:val="TextBody"/>
        <w:spacing w:before="10" w:after="0"/>
        <w:rPr>
          <w:sz w:val="10"/>
        </w:rPr>
      </w:pPr>
      <w:r>
        <w:rPr>
          <w:sz w:val="10"/>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1067"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0" w:hanging="0"/>
              <w:jc w:val="left"/>
              <w:rPr>
                <w:sz w:val="34"/>
              </w:rPr>
            </w:pPr>
            <w:r>
              <w:rPr>
                <w:kern w:val="0"/>
                <w:sz w:val="22"/>
                <w:szCs w:val="22"/>
              </w:rPr>
            </w:r>
          </w:p>
          <w:p>
            <w:pPr>
              <w:pStyle w:val="TableParagraph"/>
              <w:widowControl w:val="false"/>
              <w:spacing w:before="1" w:after="0"/>
              <w:jc w:val="left"/>
              <w:rPr>
                <w:b/>
                <w:b/>
                <w:sz w:val="24"/>
              </w:rPr>
            </w:pPr>
            <w:r>
              <w:rPr>
                <w:b/>
                <w:kern w:val="0"/>
                <w:sz w:val="24"/>
                <w:szCs w:val="22"/>
              </w:rPr>
              <w:t>Úkol č. 5.0.1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7" w:hanging="0"/>
              <w:jc w:val="left"/>
              <w:rPr>
                <w:sz w:val="24"/>
              </w:rPr>
            </w:pPr>
            <w:r>
              <w:rPr>
                <w:kern w:val="0"/>
                <w:sz w:val="24"/>
                <w:szCs w:val="22"/>
              </w:rPr>
              <w:t>Podání informace bezpečnostnímu řediteli a řediteli odboru personální a mzdy o plnění Interního protikorupčního programu a návrhů na jeho aktualizaci (se stavem k 31. prosinci každého lichého kalendářního roku).</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Vedoucí zaměstnanci sekcí a vedoucí zaměstnanci přímo podřízeni generálnímu řediteli NK.</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do 31. ledna každého sudého kalendářního roku</w:t>
            </w:r>
          </w:p>
        </w:tc>
      </w:tr>
    </w:tbl>
    <w:p>
      <w:pPr>
        <w:pStyle w:val="TextBody"/>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794"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8" w:after="0"/>
              <w:jc w:val="left"/>
              <w:rPr>
                <w:b/>
                <w:b/>
                <w:sz w:val="24"/>
              </w:rPr>
            </w:pPr>
            <w:r>
              <w:rPr>
                <w:b/>
                <w:kern w:val="0"/>
                <w:sz w:val="24"/>
                <w:szCs w:val="22"/>
              </w:rPr>
              <w:t>Úkol č. 5.0.2</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6" w:after="0"/>
              <w:ind w:left="108" w:right="103" w:hanging="0"/>
              <w:jc w:val="left"/>
              <w:rPr>
                <w:sz w:val="24"/>
              </w:rPr>
            </w:pPr>
            <w:r>
              <w:rPr>
                <w:kern w:val="0"/>
                <w:sz w:val="24"/>
                <w:szCs w:val="22"/>
              </w:rPr>
              <w:t>Vyhodnocení Interního protikorupčního programu (se stavem k 31. prosinci každého lichého kalendářního roku).</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vedoucí zaměstnanci</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do 28. února každého sudého kalendářního roku</w:t>
            </w:r>
          </w:p>
        </w:tc>
      </w:tr>
    </w:tbl>
    <w:p>
      <w:pPr>
        <w:pStyle w:val="TextBody"/>
        <w:spacing w:before="1" w:after="0"/>
        <w:rPr>
          <w:rFonts w:ascii="Arial" w:hAnsi="Arial"/>
          <w:sz w:val="17"/>
        </w:rPr>
      </w:pPr>
      <w:r>
        <w:rPr/>
      </w:r>
    </w:p>
    <w:p>
      <w:pPr>
        <w:pStyle w:val="TextBody"/>
        <w:spacing w:before="1" w:after="0"/>
        <w:rPr>
          <w:b/>
          <w:b/>
        </w:rPr>
      </w:pPr>
      <w:r>
        <w:rPr>
          <w:b/>
        </w:rPr>
        <w:t>5.1 Zpráva o plnění interního protikorupčního programu</w:t>
      </w:r>
    </w:p>
    <w:p>
      <w:pPr>
        <w:pStyle w:val="TextBody"/>
        <w:spacing w:before="1" w:after="0"/>
        <w:rPr>
          <w:rFonts w:ascii="Arial" w:hAnsi="Arial"/>
          <w:sz w:val="17"/>
        </w:rPr>
      </w:pPr>
      <w:r>
        <w:rPr/>
      </w:r>
    </w:p>
    <w:p>
      <w:pPr>
        <w:pStyle w:val="TextBody"/>
        <w:spacing w:before="1" w:after="0"/>
        <w:ind w:right="431" w:hanging="0"/>
        <w:jc w:val="both"/>
        <w:rPr>
          <w:rFonts w:ascii="Arial" w:hAnsi="Arial"/>
          <w:sz w:val="17"/>
        </w:rPr>
      </w:pPr>
      <w:r>
        <w:rPr/>
        <w:t xml:space="preserve">Každoroční agregace informací z vyhodnocení zaslaných jednotlivými organizačními útvary a následné zpracování zprávy o plnění interního protikorupčního programu a přijatých nápravných opatřeních. </w:t>
      </w:r>
    </w:p>
    <w:p>
      <w:pPr>
        <w:pStyle w:val="TextBody"/>
        <w:spacing w:before="1" w:after="0"/>
        <w:ind w:right="431" w:hanging="0"/>
        <w:jc w:val="both"/>
        <w:rPr>
          <w:rFonts w:ascii="Arial" w:hAnsi="Arial"/>
          <w:sz w:val="17"/>
        </w:rPr>
      </w:pPr>
      <w:r>
        <w:rPr/>
      </w:r>
    </w:p>
    <w:p>
      <w:pPr>
        <w:pStyle w:val="TextBody"/>
        <w:spacing w:before="1" w:after="0"/>
        <w:ind w:right="431" w:hanging="0"/>
        <w:jc w:val="both"/>
        <w:rPr>
          <w:rFonts w:ascii="Arial" w:hAnsi="Arial"/>
          <w:sz w:val="17"/>
        </w:rPr>
      </w:pPr>
      <w:r>
        <w:rPr/>
        <w:t>Obsahem zprávy je stav implementace protikorupčních nástrojů a plán jejich nápravných opatření, systém a rozsah školení, katalog korupčních rizik, počet identifikovaných podezření na korupci a výsledky jejich prověření, výsledek hodnocení účinnosti celého protikorupčního programu.</w:t>
      </w:r>
    </w:p>
    <w:p>
      <w:pPr>
        <w:pStyle w:val="TextBody"/>
        <w:spacing w:before="1" w:after="0"/>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1067"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0" w:hanging="0"/>
              <w:jc w:val="left"/>
              <w:rPr>
                <w:sz w:val="34"/>
              </w:rPr>
            </w:pPr>
            <w:r>
              <w:rPr>
                <w:kern w:val="0"/>
                <w:sz w:val="22"/>
                <w:szCs w:val="22"/>
              </w:rPr>
            </w:r>
          </w:p>
          <w:p>
            <w:pPr>
              <w:pStyle w:val="TableParagraph"/>
              <w:widowControl w:val="false"/>
              <w:spacing w:before="1" w:after="0"/>
              <w:jc w:val="left"/>
              <w:rPr>
                <w:b/>
                <w:b/>
                <w:sz w:val="24"/>
              </w:rPr>
            </w:pPr>
            <w:r>
              <w:rPr>
                <w:b/>
                <w:kern w:val="0"/>
                <w:sz w:val="24"/>
                <w:szCs w:val="22"/>
              </w:rPr>
              <w:t>Úkol č. 5.1.1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7" w:hanging="0"/>
              <w:jc w:val="left"/>
              <w:rPr>
                <w:sz w:val="24"/>
              </w:rPr>
            </w:pPr>
            <w:r>
              <w:rPr>
                <w:kern w:val="0"/>
                <w:sz w:val="24"/>
                <w:szCs w:val="22"/>
              </w:rPr>
              <w:t>Předložit generálnímu řediteli NK souhrnnou zprávu o plnění Interního protikorupčního programu NK a návrh na jeho případnou aktualizaci, včetně přehledu řešených případů korupčního charakteru.</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ředitel odboru personální a mzdy</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do 31. března</w:t>
            </w:r>
          </w:p>
        </w:tc>
      </w:tr>
    </w:tbl>
    <w:p>
      <w:pPr>
        <w:pStyle w:val="TextBody"/>
        <w:spacing w:before="1" w:after="0"/>
        <w:rPr>
          <w:rFonts w:ascii="Arial" w:hAnsi="Arial"/>
          <w:sz w:val="17"/>
        </w:rPr>
      </w:pPr>
      <w:r>
        <w:rPr/>
      </w:r>
    </w:p>
    <w:p>
      <w:pPr>
        <w:pStyle w:val="TextBody"/>
        <w:spacing w:before="1" w:after="0"/>
        <w:rPr>
          <w:rFonts w:ascii="Arial" w:hAnsi="Arial"/>
          <w:sz w:val="17"/>
        </w:rPr>
      </w:pPr>
      <w:r>
        <w:rPr/>
      </w:r>
    </w:p>
    <w:p>
      <w:pPr>
        <w:pStyle w:val="TextBody"/>
        <w:spacing w:before="1" w:after="0"/>
        <w:rPr>
          <w:b/>
          <w:b/>
        </w:rPr>
      </w:pPr>
      <w:r>
        <w:rPr>
          <w:b/>
        </w:rPr>
        <w:t xml:space="preserve">5.2 Aktualizace interního protikorupčního programu </w:t>
      </w:r>
    </w:p>
    <w:p>
      <w:pPr>
        <w:pStyle w:val="TextBody"/>
        <w:spacing w:before="1" w:after="0"/>
        <w:rPr>
          <w:rFonts w:ascii="Arial" w:hAnsi="Arial"/>
          <w:sz w:val="17"/>
        </w:rPr>
      </w:pPr>
      <w:r>
        <w:rPr/>
      </w:r>
    </w:p>
    <w:p>
      <w:pPr>
        <w:pStyle w:val="TextBody"/>
        <w:spacing w:before="1" w:after="0"/>
        <w:ind w:right="431" w:hanging="0"/>
        <w:jc w:val="both"/>
        <w:rPr>
          <w:rFonts w:ascii="Arial" w:hAnsi="Arial"/>
          <w:sz w:val="17"/>
        </w:rPr>
      </w:pPr>
      <w:r>
        <w:rPr/>
        <w:t>Na základě zprávy o plnění interního protikorupčního programu a po kontrole souladu s aktuálním Rezortním interním protikorupčním programem Ministerstva kultury bude aktualizován interní protikorupční program a jeho aktuální znění zveřejněn na internetových stránkách NK. K aktualizaci interního protikorupčního programu může dojít i na základě jiné aktuální potřeby, a to i v průběhu roku.</w:t>
      </w:r>
    </w:p>
    <w:p>
      <w:pPr>
        <w:pStyle w:val="TextBody"/>
        <w:spacing w:before="1" w:after="0"/>
        <w:jc w:val="both"/>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1067"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0" w:hanging="0"/>
              <w:jc w:val="left"/>
              <w:rPr>
                <w:sz w:val="34"/>
              </w:rPr>
            </w:pPr>
            <w:r>
              <w:rPr>
                <w:kern w:val="0"/>
                <w:sz w:val="22"/>
                <w:szCs w:val="22"/>
              </w:rPr>
            </w:r>
          </w:p>
          <w:p>
            <w:pPr>
              <w:pStyle w:val="TableParagraph"/>
              <w:widowControl w:val="false"/>
              <w:spacing w:before="1" w:after="0"/>
              <w:jc w:val="left"/>
              <w:rPr>
                <w:b/>
                <w:b/>
                <w:sz w:val="24"/>
              </w:rPr>
            </w:pPr>
            <w:r>
              <w:rPr>
                <w:b/>
                <w:kern w:val="0"/>
                <w:sz w:val="24"/>
                <w:szCs w:val="22"/>
              </w:rPr>
              <w:t>Úkol č. 5.2.1</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7" w:hanging="0"/>
              <w:jc w:val="both"/>
              <w:rPr>
                <w:sz w:val="24"/>
              </w:rPr>
            </w:pPr>
            <w:r>
              <w:rPr>
                <w:kern w:val="0"/>
                <w:sz w:val="22"/>
                <w:szCs w:val="22"/>
              </w:rPr>
            </w:r>
          </w:p>
          <w:p>
            <w:pPr>
              <w:pStyle w:val="TableParagraph"/>
              <w:widowControl w:val="false"/>
              <w:spacing w:before="114" w:after="0"/>
              <w:ind w:left="108" w:right="97" w:hanging="0"/>
              <w:jc w:val="both"/>
              <w:rPr>
                <w:sz w:val="24"/>
              </w:rPr>
            </w:pPr>
            <w:r>
              <w:rPr>
                <w:kern w:val="0"/>
                <w:sz w:val="24"/>
                <w:szCs w:val="22"/>
              </w:rPr>
              <w:t>Provést aktualizaci interního protikorupčního programu.</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ředitel odboru personální a mzdy</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do 30. června každého sudého kalendářního roku</w:t>
            </w:r>
          </w:p>
        </w:tc>
      </w:tr>
    </w:tbl>
    <w:p>
      <w:pPr>
        <w:pStyle w:val="TextBody"/>
        <w:spacing w:before="1" w:after="0"/>
        <w:jc w:val="both"/>
        <w:rPr>
          <w:rFonts w:ascii="Arial" w:hAnsi="Arial"/>
          <w:sz w:val="17"/>
        </w:rPr>
      </w:pPr>
      <w:r>
        <w:rPr/>
      </w:r>
    </w:p>
    <w:tbl>
      <w:tblPr>
        <w:tblStyle w:val="TableNormal"/>
        <w:tblW w:w="9496" w:type="dxa"/>
        <w:jc w:val="left"/>
        <w:tblInd w:w="115" w:type="dxa"/>
        <w:tblLayout w:type="fixed"/>
        <w:tblCellMar>
          <w:top w:w="0" w:type="dxa"/>
          <w:left w:w="5" w:type="dxa"/>
          <w:bottom w:w="0" w:type="dxa"/>
          <w:right w:w="5" w:type="dxa"/>
        </w:tblCellMar>
        <w:tblLook w:val="01e0" w:noHBand="0" w:noVBand="0" w:firstColumn="1" w:lastRow="1" w:lastColumn="1" w:firstRow="1"/>
      </w:tblPr>
      <w:tblGrid>
        <w:gridCol w:w="2092"/>
        <w:gridCol w:w="7403"/>
      </w:tblGrid>
      <w:tr>
        <w:trPr>
          <w:trHeight w:val="1067"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0" w:hanging="0"/>
              <w:jc w:val="left"/>
              <w:rPr>
                <w:sz w:val="34"/>
              </w:rPr>
            </w:pPr>
            <w:r>
              <w:rPr>
                <w:kern w:val="0"/>
                <w:sz w:val="22"/>
                <w:szCs w:val="22"/>
              </w:rPr>
            </w:r>
          </w:p>
          <w:p>
            <w:pPr>
              <w:pStyle w:val="TableParagraph"/>
              <w:widowControl w:val="false"/>
              <w:spacing w:before="1" w:after="0"/>
              <w:jc w:val="left"/>
              <w:rPr>
                <w:b/>
                <w:b/>
                <w:sz w:val="24"/>
              </w:rPr>
            </w:pPr>
            <w:r>
              <w:rPr>
                <w:b/>
                <w:kern w:val="0"/>
                <w:sz w:val="24"/>
                <w:szCs w:val="22"/>
              </w:rPr>
              <w:t>Úkol č. 5.2.2</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108" w:right="97" w:hanging="0"/>
              <w:jc w:val="left"/>
              <w:rPr>
                <w:sz w:val="24"/>
              </w:rPr>
            </w:pPr>
            <w:r>
              <w:rPr>
                <w:kern w:val="0"/>
                <w:sz w:val="24"/>
                <w:szCs w:val="22"/>
              </w:rPr>
              <w:t>Zveřejnit aktuální verzi interního protikorupčního programu na internetových stránkách NK.</w:t>
            </w:r>
          </w:p>
        </w:tc>
      </w:tr>
      <w:tr>
        <w:trPr>
          <w:trHeight w:val="515"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Zodpovídá:</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ředitel odboru personální a mzdy</w:t>
            </w:r>
          </w:p>
        </w:tc>
      </w:tr>
      <w:tr>
        <w:trPr>
          <w:trHeight w:val="516" w:hRule="atLeast"/>
        </w:trPr>
        <w:tc>
          <w:tcPr>
            <w:tcW w:w="20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ind w:left="641" w:hanging="0"/>
              <w:jc w:val="left"/>
              <w:rPr>
                <w:sz w:val="24"/>
              </w:rPr>
            </w:pPr>
            <w:r>
              <w:rPr>
                <w:kern w:val="0"/>
                <w:sz w:val="24"/>
                <w:szCs w:val="22"/>
              </w:rPr>
              <w:t>Termín:</w:t>
            </w:r>
          </w:p>
        </w:tc>
        <w:tc>
          <w:tcPr>
            <w:tcW w:w="74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4" w:after="0"/>
              <w:jc w:val="left"/>
              <w:rPr>
                <w:sz w:val="24"/>
              </w:rPr>
            </w:pPr>
            <w:r>
              <w:rPr>
                <w:kern w:val="0"/>
                <w:sz w:val="24"/>
                <w:szCs w:val="22"/>
              </w:rPr>
              <w:t>do 30. června každého sudého kalendářního roku</w:t>
            </w:r>
          </w:p>
        </w:tc>
      </w:tr>
    </w:tbl>
    <w:p>
      <w:pPr>
        <w:pStyle w:val="TextBody"/>
        <w:spacing w:before="1" w:after="0"/>
        <w:jc w:val="both"/>
        <w:rPr>
          <w:rFonts w:ascii="Arial" w:hAnsi="Arial"/>
          <w:sz w:val="17"/>
        </w:rPr>
      </w:pPr>
      <w:r>
        <w:rPr/>
      </w:r>
    </w:p>
    <w:sectPr>
      <w:headerReference w:type="default" r:id="rId16"/>
      <w:footerReference w:type="default" r:id="rId17"/>
      <w:type w:val="nextPage"/>
      <w:pgSz w:w="11906" w:h="16838"/>
      <w:pgMar w:left="1200" w:right="640" w:gutter="0" w:header="677" w:top="1280" w:footer="816" w:bottom="10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8" wp14:anchorId="0648CF94">
              <wp:simplePos x="0" y="0"/>
              <wp:positionH relativeFrom="page">
                <wp:posOffset>3658235</wp:posOffset>
              </wp:positionH>
              <wp:positionV relativeFrom="page">
                <wp:posOffset>10034905</wp:posOffset>
              </wp:positionV>
              <wp:extent cx="399415" cy="231775"/>
              <wp:effectExtent l="0" t="0" r="0" b="0"/>
              <wp:wrapNone/>
              <wp:docPr id="1" name="Text Box 1"/>
              <a:graphic xmlns:a="http://schemas.openxmlformats.org/drawingml/2006/main">
                <a:graphicData uri="http://schemas.microsoft.com/office/word/2010/wordprocessingShape">
                  <wps:wsp>
                    <wps:cNvSpPr/>
                    <wps:spPr>
                      <a:xfrm>
                        <a:off x="0" y="0"/>
                        <a:ext cx="398880" cy="231120"/>
                      </a:xfrm>
                      <a:prstGeom prst="rect">
                        <a:avLst/>
                      </a:prstGeom>
                      <a:noFill/>
                      <a:ln w="0">
                        <a:noFill/>
                      </a:ln>
                    </wps:spPr>
                    <wps:style>
                      <a:lnRef idx="0"/>
                      <a:fillRef idx="0"/>
                      <a:effectRef idx="0"/>
                      <a:fontRef idx="minor"/>
                    </wps:style>
                    <wps:txbx>
                      <w:txbxContent>
                        <w:p>
                          <w:pPr>
                            <w:pStyle w:val="TextBody"/>
                            <w:spacing w:before="45" w:after="0"/>
                            <w:ind w:left="60" w:hanging="0"/>
                            <w:rPr/>
                          </w:pPr>
                          <w:r>
                            <w:rPr/>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288.05pt;margin-top:790.15pt;width:31.35pt;height:18.15pt;mso-wrap-style:none;v-text-anchor:middle;mso-position-horizontal-relative:page;mso-position-vertical-relative:page" wp14:anchorId="0648CF94">
              <v:fill o:detectmouseclick="t" on="false"/>
              <v:stroke color="#3465a4" joinstyle="round" endcap="flat"/>
              <v:textbox>
                <w:txbxContent>
                  <w:p>
                    <w:pPr>
                      <w:pStyle w:val="TextBody"/>
                      <w:spacing w:before="45" w:after="0"/>
                      <w:ind w:left="60" w:hanging="0"/>
                      <w:rPr/>
                    </w:pPr>
                    <w:r>
                      <w:rPr/>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12" wp14:anchorId="0648CF94">
              <wp:simplePos x="0" y="0"/>
              <wp:positionH relativeFrom="page">
                <wp:posOffset>3658235</wp:posOffset>
              </wp:positionH>
              <wp:positionV relativeFrom="page">
                <wp:posOffset>10034905</wp:posOffset>
              </wp:positionV>
              <wp:extent cx="399415" cy="231775"/>
              <wp:effectExtent l="0" t="0" r="0" b="0"/>
              <wp:wrapNone/>
              <wp:docPr id="5" name="Text Box 2"/>
              <a:graphic xmlns:a="http://schemas.openxmlformats.org/drawingml/2006/main">
                <a:graphicData uri="http://schemas.microsoft.com/office/word/2010/wordprocessingShape">
                  <wps:wsp>
                    <wps:cNvSpPr/>
                    <wps:spPr>
                      <a:xfrm>
                        <a:off x="0" y="0"/>
                        <a:ext cx="398880" cy="231120"/>
                      </a:xfrm>
                      <a:prstGeom prst="rect">
                        <a:avLst/>
                      </a:prstGeom>
                      <a:noFill/>
                      <a:ln w="0">
                        <a:noFill/>
                      </a:ln>
                    </wps:spPr>
                    <wps:style>
                      <a:lnRef idx="0"/>
                      <a:fillRef idx="0"/>
                      <a:effectRef idx="0"/>
                      <a:fontRef idx="minor"/>
                    </wps:style>
                    <wps:txbx>
                      <w:txbxContent>
                        <w:p>
                          <w:pPr>
                            <w:pStyle w:val="TextBody"/>
                            <w:spacing w:before="45" w:after="0"/>
                            <w:ind w:left="60" w:hanging="0"/>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288.05pt;margin-top:790.15pt;width:31.35pt;height:18.15pt;mso-wrap-style:none;v-text-anchor:middle;mso-position-horizontal-relative:page;mso-position-vertical-relative:page" wp14:anchorId="0648CF94">
              <v:fill o:detectmouseclick="t" on="false"/>
              <v:stroke color="#3465a4" joinstyle="round" endcap="flat"/>
              <v:textbox>
                <w:txbxContent>
                  <w:p>
                    <w:pPr>
                      <w:pStyle w:val="TextBody"/>
                      <w:spacing w:before="45" w:after="0"/>
                      <w:ind w:left="60" w:hanging="0"/>
                      <w:rPr/>
                    </w:pPr>
                    <w:r>
                      <w:rPr/>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32" wp14:anchorId="0648CF94">
              <wp:simplePos x="0" y="0"/>
              <wp:positionH relativeFrom="page">
                <wp:posOffset>3658235</wp:posOffset>
              </wp:positionH>
              <wp:positionV relativeFrom="page">
                <wp:posOffset>10034905</wp:posOffset>
              </wp:positionV>
              <wp:extent cx="399415" cy="231775"/>
              <wp:effectExtent l="0" t="0" r="0" b="0"/>
              <wp:wrapNone/>
              <wp:docPr id="7" name="Text Box 3"/>
              <a:graphic xmlns:a="http://schemas.openxmlformats.org/drawingml/2006/main">
                <a:graphicData uri="http://schemas.microsoft.com/office/word/2010/wordprocessingShape">
                  <wps:wsp>
                    <wps:cNvSpPr/>
                    <wps:spPr>
                      <a:xfrm>
                        <a:off x="0" y="0"/>
                        <a:ext cx="398880" cy="231120"/>
                      </a:xfrm>
                      <a:prstGeom prst="rect">
                        <a:avLst/>
                      </a:prstGeom>
                      <a:noFill/>
                      <a:ln w="0">
                        <a:noFill/>
                      </a:ln>
                    </wps:spPr>
                    <wps:style>
                      <a:lnRef idx="0"/>
                      <a:fillRef idx="0"/>
                      <a:effectRef idx="0"/>
                      <a:fontRef idx="minor"/>
                    </wps:style>
                    <wps:txbx>
                      <w:txbxContent>
                        <w:p>
                          <w:pPr>
                            <w:pStyle w:val="TextBody"/>
                            <w:spacing w:before="45" w:after="0"/>
                            <w:ind w:left="60" w:hanging="0"/>
                            <w:rPr/>
                          </w:pPr>
                          <w:r>
                            <w:rPr/>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288.05pt;margin-top:790.15pt;width:31.35pt;height:18.15pt;mso-wrap-style:none;v-text-anchor:middle;mso-position-horizontal-relative:page;mso-position-vertical-relative:page" wp14:anchorId="0648CF94">
              <v:fill o:detectmouseclick="t" on="false"/>
              <v:stroke color="#3465a4" joinstyle="round" endcap="flat"/>
              <v:textbox>
                <w:txbxContent>
                  <w:p>
                    <w:pPr>
                      <w:pStyle w:val="TextBody"/>
                      <w:spacing w:before="45" w:after="0"/>
                      <w:ind w:left="60" w:hanging="0"/>
                      <w:rPr/>
                    </w:pPr>
                    <w:r>
                      <w:rPr/>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16" w:hanging="351"/>
      </w:pPr>
      <w:rPr>
        <w:rFonts w:ascii="Symbol" w:hAnsi="Symbol" w:cs="Symbol" w:hint="default"/>
        <w:sz w:val="24"/>
        <w:szCs w:val="24"/>
        <w:w w:val="100"/>
        <w:lang w:val="cs-CZ" w:eastAsia="cs-CZ" w:bidi="cs-CZ"/>
      </w:rPr>
    </w:lvl>
    <w:lvl w:ilvl="1">
      <w:start w:val="0"/>
      <w:numFmt w:val="bullet"/>
      <w:lvlText w:val=""/>
      <w:lvlJc w:val="left"/>
      <w:pPr>
        <w:tabs>
          <w:tab w:val="num" w:pos="0"/>
        </w:tabs>
        <w:ind w:left="1474" w:hanging="351"/>
      </w:pPr>
      <w:rPr>
        <w:rFonts w:ascii="Symbol" w:hAnsi="Symbol" w:cs="Symbol" w:hint="default"/>
        <w:lang w:val="cs-CZ" w:eastAsia="cs-CZ" w:bidi="cs-CZ"/>
      </w:rPr>
    </w:lvl>
    <w:lvl w:ilvl="2">
      <w:start w:val="0"/>
      <w:numFmt w:val="bullet"/>
      <w:lvlText w:val=""/>
      <w:lvlJc w:val="left"/>
      <w:pPr>
        <w:tabs>
          <w:tab w:val="num" w:pos="0"/>
        </w:tabs>
        <w:ind w:left="2128" w:hanging="351"/>
      </w:pPr>
      <w:rPr>
        <w:rFonts w:ascii="Symbol" w:hAnsi="Symbol" w:cs="Symbol" w:hint="default"/>
        <w:lang w:val="cs-CZ" w:eastAsia="cs-CZ" w:bidi="cs-CZ"/>
      </w:rPr>
    </w:lvl>
    <w:lvl w:ilvl="3">
      <w:start w:val="0"/>
      <w:numFmt w:val="bullet"/>
      <w:lvlText w:val=""/>
      <w:lvlJc w:val="left"/>
      <w:pPr>
        <w:tabs>
          <w:tab w:val="num" w:pos="0"/>
        </w:tabs>
        <w:ind w:left="2782" w:hanging="351"/>
      </w:pPr>
      <w:rPr>
        <w:rFonts w:ascii="Symbol" w:hAnsi="Symbol" w:cs="Symbol" w:hint="default"/>
        <w:lang w:val="cs-CZ" w:eastAsia="cs-CZ" w:bidi="cs-CZ"/>
      </w:rPr>
    </w:lvl>
    <w:lvl w:ilvl="4">
      <w:start w:val="0"/>
      <w:numFmt w:val="bullet"/>
      <w:lvlText w:val=""/>
      <w:lvlJc w:val="left"/>
      <w:pPr>
        <w:tabs>
          <w:tab w:val="num" w:pos="0"/>
        </w:tabs>
        <w:ind w:left="3436" w:hanging="351"/>
      </w:pPr>
      <w:rPr>
        <w:rFonts w:ascii="Symbol" w:hAnsi="Symbol" w:cs="Symbol" w:hint="default"/>
        <w:lang w:val="cs-CZ" w:eastAsia="cs-CZ" w:bidi="cs-CZ"/>
      </w:rPr>
    </w:lvl>
    <w:lvl w:ilvl="5">
      <w:start w:val="0"/>
      <w:numFmt w:val="bullet"/>
      <w:lvlText w:val=""/>
      <w:lvlJc w:val="left"/>
      <w:pPr>
        <w:tabs>
          <w:tab w:val="num" w:pos="0"/>
        </w:tabs>
        <w:ind w:left="4091" w:hanging="351"/>
      </w:pPr>
      <w:rPr>
        <w:rFonts w:ascii="Symbol" w:hAnsi="Symbol" w:cs="Symbol" w:hint="default"/>
        <w:lang w:val="cs-CZ" w:eastAsia="cs-CZ" w:bidi="cs-CZ"/>
      </w:rPr>
    </w:lvl>
    <w:lvl w:ilvl="6">
      <w:start w:val="0"/>
      <w:numFmt w:val="bullet"/>
      <w:lvlText w:val=""/>
      <w:lvlJc w:val="left"/>
      <w:pPr>
        <w:tabs>
          <w:tab w:val="num" w:pos="0"/>
        </w:tabs>
        <w:ind w:left="4745" w:hanging="351"/>
      </w:pPr>
      <w:rPr>
        <w:rFonts w:ascii="Symbol" w:hAnsi="Symbol" w:cs="Symbol" w:hint="default"/>
        <w:lang w:val="cs-CZ" w:eastAsia="cs-CZ" w:bidi="cs-CZ"/>
      </w:rPr>
    </w:lvl>
    <w:lvl w:ilvl="7">
      <w:start w:val="0"/>
      <w:numFmt w:val="bullet"/>
      <w:lvlText w:val=""/>
      <w:lvlJc w:val="left"/>
      <w:pPr>
        <w:tabs>
          <w:tab w:val="num" w:pos="0"/>
        </w:tabs>
        <w:ind w:left="5399" w:hanging="351"/>
      </w:pPr>
      <w:rPr>
        <w:rFonts w:ascii="Symbol" w:hAnsi="Symbol" w:cs="Symbol" w:hint="default"/>
        <w:lang w:val="cs-CZ" w:eastAsia="cs-CZ" w:bidi="cs-CZ"/>
      </w:rPr>
    </w:lvl>
    <w:lvl w:ilvl="8">
      <w:start w:val="0"/>
      <w:numFmt w:val="bullet"/>
      <w:lvlText w:val=""/>
      <w:lvlJc w:val="left"/>
      <w:pPr>
        <w:tabs>
          <w:tab w:val="num" w:pos="0"/>
        </w:tabs>
        <w:ind w:left="6053" w:hanging="351"/>
      </w:pPr>
      <w:rPr>
        <w:rFonts w:ascii="Symbol" w:hAnsi="Symbol" w:cs="Symbol" w:hint="default"/>
        <w:lang w:val="cs-CZ" w:eastAsia="cs-CZ" w:bidi="cs-CZ"/>
      </w:rPr>
    </w:lvl>
  </w:abstractNum>
  <w:abstractNum w:abstractNumId="2">
    <w:lvl w:ilvl="0">
      <w:start w:val="1"/>
      <w:numFmt w:val="lowerLetter"/>
      <w:lvlText w:val="%1)"/>
      <w:lvlJc w:val="left"/>
      <w:pPr>
        <w:tabs>
          <w:tab w:val="num" w:pos="0"/>
        </w:tabs>
        <w:ind w:left="576" w:hanging="360"/>
      </w:pPr>
      <w:rPr>
        <w:sz w:val="24"/>
        <w:spacing w:val="-1"/>
        <w:szCs w:val="24"/>
        <w:w w:val="100"/>
        <w:rFonts w:ascii="Times New Roman" w:hAnsi="Times New Roman" w:eastAsia="Times New Roman" w:cs="Times New Roman"/>
        <w:lang w:val="cs-CZ" w:eastAsia="cs-CZ" w:bidi="cs-CZ"/>
      </w:rPr>
    </w:lvl>
    <w:lvl w:ilvl="1">
      <w:start w:val="0"/>
      <w:numFmt w:val="bullet"/>
      <w:lvlText w:val=""/>
      <w:lvlJc w:val="left"/>
      <w:pPr>
        <w:tabs>
          <w:tab w:val="num" w:pos="0"/>
        </w:tabs>
        <w:ind w:left="1528" w:hanging="360"/>
      </w:pPr>
      <w:rPr>
        <w:rFonts w:ascii="Symbol" w:hAnsi="Symbol" w:cs="Symbol" w:hint="default"/>
        <w:lang w:val="cs-CZ" w:eastAsia="cs-CZ" w:bidi="cs-CZ"/>
      </w:rPr>
    </w:lvl>
    <w:lvl w:ilvl="2">
      <w:start w:val="0"/>
      <w:numFmt w:val="bullet"/>
      <w:lvlText w:val=""/>
      <w:lvlJc w:val="left"/>
      <w:pPr>
        <w:tabs>
          <w:tab w:val="num" w:pos="0"/>
        </w:tabs>
        <w:ind w:left="2477" w:hanging="360"/>
      </w:pPr>
      <w:rPr>
        <w:rFonts w:ascii="Symbol" w:hAnsi="Symbol" w:cs="Symbol" w:hint="default"/>
        <w:lang w:val="cs-CZ" w:eastAsia="cs-CZ" w:bidi="cs-CZ"/>
      </w:rPr>
    </w:lvl>
    <w:lvl w:ilvl="3">
      <w:start w:val="0"/>
      <w:numFmt w:val="bullet"/>
      <w:lvlText w:val=""/>
      <w:lvlJc w:val="left"/>
      <w:pPr>
        <w:tabs>
          <w:tab w:val="num" w:pos="0"/>
        </w:tabs>
        <w:ind w:left="3425" w:hanging="360"/>
      </w:pPr>
      <w:rPr>
        <w:rFonts w:ascii="Symbol" w:hAnsi="Symbol" w:cs="Symbol" w:hint="default"/>
        <w:lang w:val="cs-CZ" w:eastAsia="cs-CZ" w:bidi="cs-CZ"/>
      </w:rPr>
    </w:lvl>
    <w:lvl w:ilvl="4">
      <w:start w:val="0"/>
      <w:numFmt w:val="bullet"/>
      <w:lvlText w:val=""/>
      <w:lvlJc w:val="left"/>
      <w:pPr>
        <w:tabs>
          <w:tab w:val="num" w:pos="0"/>
        </w:tabs>
        <w:ind w:left="4374" w:hanging="360"/>
      </w:pPr>
      <w:rPr>
        <w:rFonts w:ascii="Symbol" w:hAnsi="Symbol" w:cs="Symbol" w:hint="default"/>
        <w:lang w:val="cs-CZ" w:eastAsia="cs-CZ" w:bidi="cs-CZ"/>
      </w:rPr>
    </w:lvl>
    <w:lvl w:ilvl="5">
      <w:start w:val="0"/>
      <w:numFmt w:val="bullet"/>
      <w:lvlText w:val=""/>
      <w:lvlJc w:val="left"/>
      <w:pPr>
        <w:tabs>
          <w:tab w:val="num" w:pos="0"/>
        </w:tabs>
        <w:ind w:left="5323" w:hanging="360"/>
      </w:pPr>
      <w:rPr>
        <w:rFonts w:ascii="Symbol" w:hAnsi="Symbol" w:cs="Symbol" w:hint="default"/>
        <w:lang w:val="cs-CZ" w:eastAsia="cs-CZ" w:bidi="cs-CZ"/>
      </w:rPr>
    </w:lvl>
    <w:lvl w:ilvl="6">
      <w:start w:val="0"/>
      <w:numFmt w:val="bullet"/>
      <w:lvlText w:val=""/>
      <w:lvlJc w:val="left"/>
      <w:pPr>
        <w:tabs>
          <w:tab w:val="num" w:pos="0"/>
        </w:tabs>
        <w:ind w:left="6271" w:hanging="360"/>
      </w:pPr>
      <w:rPr>
        <w:rFonts w:ascii="Symbol" w:hAnsi="Symbol" w:cs="Symbol" w:hint="default"/>
        <w:lang w:val="cs-CZ" w:eastAsia="cs-CZ" w:bidi="cs-CZ"/>
      </w:rPr>
    </w:lvl>
    <w:lvl w:ilvl="7">
      <w:start w:val="0"/>
      <w:numFmt w:val="bullet"/>
      <w:lvlText w:val=""/>
      <w:lvlJc w:val="left"/>
      <w:pPr>
        <w:tabs>
          <w:tab w:val="num" w:pos="0"/>
        </w:tabs>
        <w:ind w:left="7220" w:hanging="360"/>
      </w:pPr>
      <w:rPr>
        <w:rFonts w:ascii="Symbol" w:hAnsi="Symbol" w:cs="Symbol" w:hint="default"/>
        <w:lang w:val="cs-CZ" w:eastAsia="cs-CZ" w:bidi="cs-CZ"/>
      </w:rPr>
    </w:lvl>
    <w:lvl w:ilvl="8">
      <w:start w:val="0"/>
      <w:numFmt w:val="bullet"/>
      <w:lvlText w:val=""/>
      <w:lvlJc w:val="left"/>
      <w:pPr>
        <w:tabs>
          <w:tab w:val="num" w:pos="0"/>
        </w:tabs>
        <w:ind w:left="8169" w:hanging="360"/>
      </w:pPr>
      <w:rPr>
        <w:rFonts w:ascii="Symbol" w:hAnsi="Symbol" w:cs="Symbol" w:hint="default"/>
        <w:lang w:val="cs-CZ" w:eastAsia="cs-CZ" w:bidi="cs-CZ"/>
      </w:rPr>
    </w:lvl>
  </w:abstractNum>
  <w:abstractNum w:abstractNumId="3">
    <w:lvl w:ilvl="0">
      <w:start w:val="1"/>
      <w:numFmt w:val="lowerLetter"/>
      <w:lvlText w:val="%1)"/>
      <w:lvlJc w:val="left"/>
      <w:pPr>
        <w:tabs>
          <w:tab w:val="num" w:pos="0"/>
        </w:tabs>
        <w:ind w:left="578" w:hanging="360"/>
      </w:pPr>
      <w:rPr>
        <w:sz w:val="24"/>
        <w:spacing w:val="-1"/>
        <w:szCs w:val="24"/>
        <w:w w:val="100"/>
        <w:rFonts w:ascii="Times New Roman" w:hAnsi="Times New Roman" w:eastAsia="Times New Roman" w:cs="Times New Roman"/>
        <w:lang w:val="cs-CZ" w:eastAsia="cs-CZ" w:bidi="cs-CZ"/>
      </w:rPr>
    </w:lvl>
    <w:lvl w:ilvl="1">
      <w:start w:val="0"/>
      <w:numFmt w:val="bullet"/>
      <w:lvlText w:val=""/>
      <w:lvlJc w:val="left"/>
      <w:pPr>
        <w:tabs>
          <w:tab w:val="num" w:pos="0"/>
        </w:tabs>
        <w:ind w:left="1528" w:hanging="360"/>
      </w:pPr>
      <w:rPr>
        <w:rFonts w:ascii="Symbol" w:hAnsi="Symbol" w:cs="Symbol" w:hint="default"/>
        <w:lang w:val="cs-CZ" w:eastAsia="cs-CZ" w:bidi="cs-CZ"/>
      </w:rPr>
    </w:lvl>
    <w:lvl w:ilvl="2">
      <w:start w:val="0"/>
      <w:numFmt w:val="bullet"/>
      <w:lvlText w:val=""/>
      <w:lvlJc w:val="left"/>
      <w:pPr>
        <w:tabs>
          <w:tab w:val="num" w:pos="0"/>
        </w:tabs>
        <w:ind w:left="2477" w:hanging="360"/>
      </w:pPr>
      <w:rPr>
        <w:rFonts w:ascii="Symbol" w:hAnsi="Symbol" w:cs="Symbol" w:hint="default"/>
        <w:lang w:val="cs-CZ" w:eastAsia="cs-CZ" w:bidi="cs-CZ"/>
      </w:rPr>
    </w:lvl>
    <w:lvl w:ilvl="3">
      <w:start w:val="0"/>
      <w:numFmt w:val="bullet"/>
      <w:lvlText w:val=""/>
      <w:lvlJc w:val="left"/>
      <w:pPr>
        <w:tabs>
          <w:tab w:val="num" w:pos="0"/>
        </w:tabs>
        <w:ind w:left="3425" w:hanging="360"/>
      </w:pPr>
      <w:rPr>
        <w:rFonts w:ascii="Symbol" w:hAnsi="Symbol" w:cs="Symbol" w:hint="default"/>
        <w:lang w:val="cs-CZ" w:eastAsia="cs-CZ" w:bidi="cs-CZ"/>
      </w:rPr>
    </w:lvl>
    <w:lvl w:ilvl="4">
      <w:start w:val="0"/>
      <w:numFmt w:val="bullet"/>
      <w:lvlText w:val=""/>
      <w:lvlJc w:val="left"/>
      <w:pPr>
        <w:tabs>
          <w:tab w:val="num" w:pos="0"/>
        </w:tabs>
        <w:ind w:left="4374" w:hanging="360"/>
      </w:pPr>
      <w:rPr>
        <w:rFonts w:ascii="Symbol" w:hAnsi="Symbol" w:cs="Symbol" w:hint="default"/>
        <w:lang w:val="cs-CZ" w:eastAsia="cs-CZ" w:bidi="cs-CZ"/>
      </w:rPr>
    </w:lvl>
    <w:lvl w:ilvl="5">
      <w:start w:val="0"/>
      <w:numFmt w:val="bullet"/>
      <w:lvlText w:val=""/>
      <w:lvlJc w:val="left"/>
      <w:pPr>
        <w:tabs>
          <w:tab w:val="num" w:pos="0"/>
        </w:tabs>
        <w:ind w:left="5323" w:hanging="360"/>
      </w:pPr>
      <w:rPr>
        <w:rFonts w:ascii="Symbol" w:hAnsi="Symbol" w:cs="Symbol" w:hint="default"/>
        <w:lang w:val="cs-CZ" w:eastAsia="cs-CZ" w:bidi="cs-CZ"/>
      </w:rPr>
    </w:lvl>
    <w:lvl w:ilvl="6">
      <w:start w:val="0"/>
      <w:numFmt w:val="bullet"/>
      <w:lvlText w:val=""/>
      <w:lvlJc w:val="left"/>
      <w:pPr>
        <w:tabs>
          <w:tab w:val="num" w:pos="0"/>
        </w:tabs>
        <w:ind w:left="6271" w:hanging="360"/>
      </w:pPr>
      <w:rPr>
        <w:rFonts w:ascii="Symbol" w:hAnsi="Symbol" w:cs="Symbol" w:hint="default"/>
        <w:lang w:val="cs-CZ" w:eastAsia="cs-CZ" w:bidi="cs-CZ"/>
      </w:rPr>
    </w:lvl>
    <w:lvl w:ilvl="7">
      <w:start w:val="0"/>
      <w:numFmt w:val="bullet"/>
      <w:lvlText w:val=""/>
      <w:lvlJc w:val="left"/>
      <w:pPr>
        <w:tabs>
          <w:tab w:val="num" w:pos="0"/>
        </w:tabs>
        <w:ind w:left="7220" w:hanging="360"/>
      </w:pPr>
      <w:rPr>
        <w:rFonts w:ascii="Symbol" w:hAnsi="Symbol" w:cs="Symbol" w:hint="default"/>
        <w:lang w:val="cs-CZ" w:eastAsia="cs-CZ" w:bidi="cs-CZ"/>
      </w:rPr>
    </w:lvl>
    <w:lvl w:ilvl="8">
      <w:start w:val="0"/>
      <w:numFmt w:val="bullet"/>
      <w:lvlText w:val=""/>
      <w:lvlJc w:val="left"/>
      <w:pPr>
        <w:tabs>
          <w:tab w:val="num" w:pos="0"/>
        </w:tabs>
        <w:ind w:left="8169" w:hanging="360"/>
      </w:pPr>
      <w:rPr>
        <w:rFonts w:ascii="Symbol" w:hAnsi="Symbol" w:cs="Symbol" w:hint="default"/>
        <w:lang w:val="cs-CZ" w:eastAsia="cs-CZ" w:bidi="cs-CZ"/>
      </w:rPr>
    </w:lvl>
  </w:abstractNum>
  <w:abstractNum w:abstractNumId="4">
    <w:lvl w:ilvl="0">
      <w:start w:val="20"/>
      <w:numFmt w:val="decimal"/>
      <w:lvlText w:val="%1."/>
      <w:lvlJc w:val="left"/>
      <w:pPr>
        <w:tabs>
          <w:tab w:val="num" w:pos="0"/>
        </w:tabs>
        <w:ind w:left="218" w:hanging="384"/>
      </w:pPr>
      <w:rPr>
        <w:sz w:val="24"/>
        <w:szCs w:val="24"/>
        <w:w w:val="100"/>
        <w:rFonts w:ascii="Times New Roman" w:hAnsi="Times New Roman" w:eastAsia="Times New Roman" w:cs="Times New Roman"/>
        <w:lang w:val="cs-CZ" w:eastAsia="cs-CZ" w:bidi="cs-CZ"/>
      </w:rPr>
    </w:lvl>
    <w:lvl w:ilvl="1">
      <w:start w:val="2"/>
      <w:numFmt w:val="decimal"/>
      <w:lvlText w:val="%2."/>
      <w:lvlJc w:val="left"/>
      <w:pPr>
        <w:tabs>
          <w:tab w:val="num" w:pos="0"/>
        </w:tabs>
        <w:ind w:left="1070" w:hanging="711"/>
      </w:pPr>
      <w:rPr>
        <w:sz w:val="24"/>
        <w:spacing w:val="-10"/>
        <w:b/>
        <w:szCs w:val="24"/>
        <w:bCs/>
        <w:w w:val="99"/>
        <w:rFonts w:ascii="Times New Roman" w:hAnsi="Times New Roman" w:eastAsia="Times New Roman" w:cs="Times New Roman"/>
        <w:lang w:val="cs-CZ" w:eastAsia="cs-CZ" w:bidi="cs-CZ"/>
      </w:rPr>
    </w:lvl>
    <w:lvl w:ilvl="2">
      <w:start w:val="1"/>
      <w:numFmt w:val="decimal"/>
      <w:lvlText w:val="%2.%3"/>
      <w:lvlJc w:val="left"/>
      <w:pPr>
        <w:tabs>
          <w:tab w:val="num" w:pos="0"/>
        </w:tabs>
        <w:ind w:left="1068" w:hanging="708"/>
      </w:pPr>
      <w:rPr>
        <w:sz w:val="24"/>
        <w:spacing w:val="-4"/>
        <w:b/>
        <w:szCs w:val="24"/>
        <w:bCs/>
        <w:w w:val="99"/>
        <w:rFonts w:ascii="Times New Roman" w:hAnsi="Times New Roman" w:eastAsia="Times New Roman" w:cs="Times New Roman"/>
        <w:lang w:val="cs-CZ" w:eastAsia="cs-CZ" w:bidi="cs-CZ"/>
      </w:rPr>
    </w:lvl>
    <w:lvl w:ilvl="3">
      <w:start w:val="0"/>
      <w:numFmt w:val="bullet"/>
      <w:lvlText w:val=""/>
      <w:lvlJc w:val="left"/>
      <w:pPr>
        <w:tabs>
          <w:tab w:val="num" w:pos="0"/>
        </w:tabs>
        <w:ind w:left="1634" w:hanging="348"/>
      </w:pPr>
      <w:rPr>
        <w:rFonts w:ascii="Symbol" w:hAnsi="Symbol" w:cs="Symbol" w:hint="default"/>
        <w:sz w:val="24"/>
        <w:szCs w:val="24"/>
        <w:w w:val="100"/>
        <w:lang w:val="cs-CZ" w:eastAsia="cs-CZ" w:bidi="cs-CZ"/>
      </w:rPr>
    </w:lvl>
    <w:lvl w:ilvl="4">
      <w:start w:val="0"/>
      <w:numFmt w:val="bullet"/>
      <w:lvlText w:val="o"/>
      <w:lvlJc w:val="left"/>
      <w:pPr>
        <w:tabs>
          <w:tab w:val="num" w:pos="0"/>
        </w:tabs>
        <w:ind w:left="2342" w:hanging="336"/>
      </w:pPr>
      <w:rPr>
        <w:rFonts w:ascii="Courier New" w:hAnsi="Courier New" w:cs="Courier New" w:hint="default"/>
        <w:sz w:val="24"/>
        <w:szCs w:val="24"/>
        <w:w w:val="99"/>
        <w:lang w:val="cs-CZ" w:eastAsia="cs-CZ" w:bidi="cs-CZ"/>
      </w:rPr>
    </w:lvl>
    <w:lvl w:ilvl="5">
      <w:start w:val="0"/>
      <w:numFmt w:val="bullet"/>
      <w:lvlText w:val=""/>
      <w:lvlJc w:val="left"/>
      <w:pPr>
        <w:tabs>
          <w:tab w:val="num" w:pos="0"/>
        </w:tabs>
        <w:ind w:left="2340" w:hanging="336"/>
      </w:pPr>
      <w:rPr>
        <w:rFonts w:ascii="Symbol" w:hAnsi="Symbol" w:cs="Symbol" w:hint="default"/>
        <w:lang w:val="cs-CZ" w:eastAsia="cs-CZ" w:bidi="cs-CZ"/>
      </w:rPr>
    </w:lvl>
    <w:lvl w:ilvl="6">
      <w:start w:val="0"/>
      <w:numFmt w:val="bullet"/>
      <w:lvlText w:val=""/>
      <w:lvlJc w:val="left"/>
      <w:pPr>
        <w:tabs>
          <w:tab w:val="num" w:pos="0"/>
        </w:tabs>
        <w:ind w:left="3885" w:hanging="336"/>
      </w:pPr>
      <w:rPr>
        <w:rFonts w:ascii="Symbol" w:hAnsi="Symbol" w:cs="Symbol" w:hint="default"/>
        <w:lang w:val="cs-CZ" w:eastAsia="cs-CZ" w:bidi="cs-CZ"/>
      </w:rPr>
    </w:lvl>
    <w:lvl w:ilvl="7">
      <w:start w:val="0"/>
      <w:numFmt w:val="bullet"/>
      <w:lvlText w:val=""/>
      <w:lvlJc w:val="left"/>
      <w:pPr>
        <w:tabs>
          <w:tab w:val="num" w:pos="0"/>
        </w:tabs>
        <w:ind w:left="5430" w:hanging="336"/>
      </w:pPr>
      <w:rPr>
        <w:rFonts w:ascii="Symbol" w:hAnsi="Symbol" w:cs="Symbol" w:hint="default"/>
        <w:lang w:val="cs-CZ" w:eastAsia="cs-CZ" w:bidi="cs-CZ"/>
      </w:rPr>
    </w:lvl>
    <w:lvl w:ilvl="8">
      <w:start w:val="0"/>
      <w:numFmt w:val="bullet"/>
      <w:lvlText w:val=""/>
      <w:lvlJc w:val="left"/>
      <w:pPr>
        <w:tabs>
          <w:tab w:val="num" w:pos="0"/>
        </w:tabs>
        <w:ind w:left="6975" w:hanging="336"/>
      </w:pPr>
      <w:rPr>
        <w:rFonts w:ascii="Symbol" w:hAnsi="Symbol" w:cs="Symbol" w:hint="default"/>
        <w:lang w:val="cs-CZ" w:eastAsia="cs-CZ" w:bidi="cs-CZ"/>
      </w:rPr>
    </w:lvl>
  </w:abstractNum>
  <w:abstractNum w:abstractNumId="5">
    <w:lvl w:ilvl="0">
      <w:start w:val="1"/>
      <w:numFmt w:val="decimal"/>
      <w:lvlText w:val="%1."/>
      <w:lvlJc w:val="left"/>
      <w:pPr>
        <w:tabs>
          <w:tab w:val="num" w:pos="0"/>
        </w:tabs>
        <w:ind w:left="1070" w:hanging="711"/>
      </w:pPr>
      <w:rPr>
        <w:sz w:val="24"/>
        <w:spacing w:val="-10"/>
        <w:b/>
        <w:szCs w:val="24"/>
        <w:bCs/>
        <w:w w:val="99"/>
        <w:rFonts w:ascii="Times New Roman" w:hAnsi="Times New Roman" w:eastAsia="Times New Roman" w:cs="Times New Roman"/>
        <w:lang w:val="cs-CZ" w:eastAsia="cs-CZ" w:bidi="cs-CZ"/>
      </w:rPr>
    </w:lvl>
    <w:lvl w:ilvl="1">
      <w:start w:val="0"/>
      <w:numFmt w:val="bullet"/>
      <w:lvlText w:val=""/>
      <w:lvlJc w:val="left"/>
      <w:pPr>
        <w:tabs>
          <w:tab w:val="num" w:pos="0"/>
        </w:tabs>
        <w:ind w:left="1978" w:hanging="711"/>
      </w:pPr>
      <w:rPr>
        <w:rFonts w:ascii="Symbol" w:hAnsi="Symbol" w:cs="Symbol" w:hint="default"/>
        <w:lang w:val="cs-CZ" w:eastAsia="cs-CZ" w:bidi="cs-CZ"/>
      </w:rPr>
    </w:lvl>
    <w:lvl w:ilvl="2">
      <w:start w:val="0"/>
      <w:numFmt w:val="bullet"/>
      <w:lvlText w:val=""/>
      <w:lvlJc w:val="left"/>
      <w:pPr>
        <w:tabs>
          <w:tab w:val="num" w:pos="0"/>
        </w:tabs>
        <w:ind w:left="2877" w:hanging="711"/>
      </w:pPr>
      <w:rPr>
        <w:rFonts w:ascii="Symbol" w:hAnsi="Symbol" w:cs="Symbol" w:hint="default"/>
        <w:lang w:val="cs-CZ" w:eastAsia="cs-CZ" w:bidi="cs-CZ"/>
      </w:rPr>
    </w:lvl>
    <w:lvl w:ilvl="3">
      <w:start w:val="0"/>
      <w:numFmt w:val="bullet"/>
      <w:lvlText w:val=""/>
      <w:lvlJc w:val="left"/>
      <w:pPr>
        <w:tabs>
          <w:tab w:val="num" w:pos="0"/>
        </w:tabs>
        <w:ind w:left="3775" w:hanging="711"/>
      </w:pPr>
      <w:rPr>
        <w:rFonts w:ascii="Symbol" w:hAnsi="Symbol" w:cs="Symbol" w:hint="default"/>
        <w:lang w:val="cs-CZ" w:eastAsia="cs-CZ" w:bidi="cs-CZ"/>
      </w:rPr>
    </w:lvl>
    <w:lvl w:ilvl="4">
      <w:start w:val="0"/>
      <w:numFmt w:val="bullet"/>
      <w:lvlText w:val=""/>
      <w:lvlJc w:val="left"/>
      <w:pPr>
        <w:tabs>
          <w:tab w:val="num" w:pos="0"/>
        </w:tabs>
        <w:ind w:left="4674" w:hanging="711"/>
      </w:pPr>
      <w:rPr>
        <w:rFonts w:ascii="Symbol" w:hAnsi="Symbol" w:cs="Symbol" w:hint="default"/>
        <w:lang w:val="cs-CZ" w:eastAsia="cs-CZ" w:bidi="cs-CZ"/>
      </w:rPr>
    </w:lvl>
    <w:lvl w:ilvl="5">
      <w:start w:val="0"/>
      <w:numFmt w:val="bullet"/>
      <w:lvlText w:val=""/>
      <w:lvlJc w:val="left"/>
      <w:pPr>
        <w:tabs>
          <w:tab w:val="num" w:pos="0"/>
        </w:tabs>
        <w:ind w:left="5573" w:hanging="711"/>
      </w:pPr>
      <w:rPr>
        <w:rFonts w:ascii="Symbol" w:hAnsi="Symbol" w:cs="Symbol" w:hint="default"/>
        <w:lang w:val="cs-CZ" w:eastAsia="cs-CZ" w:bidi="cs-CZ"/>
      </w:rPr>
    </w:lvl>
    <w:lvl w:ilvl="6">
      <w:start w:val="0"/>
      <w:numFmt w:val="bullet"/>
      <w:lvlText w:val=""/>
      <w:lvlJc w:val="left"/>
      <w:pPr>
        <w:tabs>
          <w:tab w:val="num" w:pos="0"/>
        </w:tabs>
        <w:ind w:left="6471" w:hanging="711"/>
      </w:pPr>
      <w:rPr>
        <w:rFonts w:ascii="Symbol" w:hAnsi="Symbol" w:cs="Symbol" w:hint="default"/>
        <w:lang w:val="cs-CZ" w:eastAsia="cs-CZ" w:bidi="cs-CZ"/>
      </w:rPr>
    </w:lvl>
    <w:lvl w:ilvl="7">
      <w:start w:val="0"/>
      <w:numFmt w:val="bullet"/>
      <w:lvlText w:val=""/>
      <w:lvlJc w:val="left"/>
      <w:pPr>
        <w:tabs>
          <w:tab w:val="num" w:pos="0"/>
        </w:tabs>
        <w:ind w:left="7370" w:hanging="711"/>
      </w:pPr>
      <w:rPr>
        <w:rFonts w:ascii="Symbol" w:hAnsi="Symbol" w:cs="Symbol" w:hint="default"/>
        <w:lang w:val="cs-CZ" w:eastAsia="cs-CZ" w:bidi="cs-CZ"/>
      </w:rPr>
    </w:lvl>
    <w:lvl w:ilvl="8">
      <w:start w:val="0"/>
      <w:numFmt w:val="bullet"/>
      <w:lvlText w:val=""/>
      <w:lvlJc w:val="left"/>
      <w:pPr>
        <w:tabs>
          <w:tab w:val="num" w:pos="0"/>
        </w:tabs>
        <w:ind w:left="8269" w:hanging="711"/>
      </w:pPr>
      <w:rPr>
        <w:rFonts w:ascii="Symbol" w:hAnsi="Symbol" w:cs="Symbol" w:hint="default"/>
        <w:lang w:val="cs-CZ" w:eastAsia="cs-CZ" w:bidi="cs-CZ"/>
      </w:rPr>
    </w:lvl>
  </w:abstractNum>
  <w:abstractNum w:abstractNumId="6">
    <w:lvl w:ilvl="0">
      <w:start w:val="3"/>
      <w:numFmt w:val="decimal"/>
      <w:lvlText w:val="%1."/>
      <w:lvlJc w:val="left"/>
      <w:pPr>
        <w:tabs>
          <w:tab w:val="num" w:pos="0"/>
        </w:tabs>
        <w:ind w:left="840" w:hanging="187"/>
      </w:pPr>
      <w:rPr>
        <w:sz w:val="17"/>
        <w:spacing w:val="-4"/>
        <w:b/>
        <w:szCs w:val="17"/>
        <w:bCs/>
        <w:w w:val="100"/>
        <w:rFonts w:ascii="Arial" w:hAnsi="Arial" w:eastAsia="Arial" w:cs="Arial"/>
        <w:lang w:val="cs-CZ" w:eastAsia="cs-CZ" w:bidi="cs-CZ"/>
      </w:rPr>
    </w:lvl>
    <w:lvl w:ilvl="1">
      <w:start w:val="0"/>
      <w:numFmt w:val="bullet"/>
      <w:lvlText w:val=""/>
      <w:lvlJc w:val="left"/>
      <w:pPr>
        <w:tabs>
          <w:tab w:val="num" w:pos="0"/>
        </w:tabs>
        <w:ind w:left="970" w:hanging="187"/>
      </w:pPr>
      <w:rPr>
        <w:rFonts w:ascii="Symbol" w:hAnsi="Symbol" w:cs="Symbol" w:hint="default"/>
        <w:lang w:val="cs-CZ" w:eastAsia="cs-CZ" w:bidi="cs-CZ"/>
      </w:rPr>
    </w:lvl>
    <w:lvl w:ilvl="2">
      <w:start w:val="0"/>
      <w:numFmt w:val="bullet"/>
      <w:lvlText w:val=""/>
      <w:lvlJc w:val="left"/>
      <w:pPr>
        <w:tabs>
          <w:tab w:val="num" w:pos="0"/>
        </w:tabs>
        <w:ind w:left="1101" w:hanging="187"/>
      </w:pPr>
      <w:rPr>
        <w:rFonts w:ascii="Symbol" w:hAnsi="Symbol" w:cs="Symbol" w:hint="default"/>
        <w:lang w:val="cs-CZ" w:eastAsia="cs-CZ" w:bidi="cs-CZ"/>
      </w:rPr>
    </w:lvl>
    <w:lvl w:ilvl="3">
      <w:start w:val="0"/>
      <w:numFmt w:val="bullet"/>
      <w:lvlText w:val=""/>
      <w:lvlJc w:val="left"/>
      <w:pPr>
        <w:tabs>
          <w:tab w:val="num" w:pos="0"/>
        </w:tabs>
        <w:ind w:left="1231" w:hanging="187"/>
      </w:pPr>
      <w:rPr>
        <w:rFonts w:ascii="Symbol" w:hAnsi="Symbol" w:cs="Symbol" w:hint="default"/>
        <w:lang w:val="cs-CZ" w:eastAsia="cs-CZ" w:bidi="cs-CZ"/>
      </w:rPr>
    </w:lvl>
    <w:lvl w:ilvl="4">
      <w:start w:val="0"/>
      <w:numFmt w:val="bullet"/>
      <w:lvlText w:val=""/>
      <w:lvlJc w:val="left"/>
      <w:pPr>
        <w:tabs>
          <w:tab w:val="num" w:pos="0"/>
        </w:tabs>
        <w:ind w:left="1362" w:hanging="187"/>
      </w:pPr>
      <w:rPr>
        <w:rFonts w:ascii="Symbol" w:hAnsi="Symbol" w:cs="Symbol" w:hint="default"/>
        <w:lang w:val="cs-CZ" w:eastAsia="cs-CZ" w:bidi="cs-CZ"/>
      </w:rPr>
    </w:lvl>
    <w:lvl w:ilvl="5">
      <w:start w:val="0"/>
      <w:numFmt w:val="bullet"/>
      <w:lvlText w:val=""/>
      <w:lvlJc w:val="left"/>
      <w:pPr>
        <w:tabs>
          <w:tab w:val="num" w:pos="0"/>
        </w:tabs>
        <w:ind w:left="1493" w:hanging="187"/>
      </w:pPr>
      <w:rPr>
        <w:rFonts w:ascii="Symbol" w:hAnsi="Symbol" w:cs="Symbol" w:hint="default"/>
        <w:lang w:val="cs-CZ" w:eastAsia="cs-CZ" w:bidi="cs-CZ"/>
      </w:rPr>
    </w:lvl>
    <w:lvl w:ilvl="6">
      <w:start w:val="0"/>
      <w:numFmt w:val="bullet"/>
      <w:lvlText w:val=""/>
      <w:lvlJc w:val="left"/>
      <w:pPr>
        <w:tabs>
          <w:tab w:val="num" w:pos="0"/>
        </w:tabs>
        <w:ind w:left="1623" w:hanging="187"/>
      </w:pPr>
      <w:rPr>
        <w:rFonts w:ascii="Symbol" w:hAnsi="Symbol" w:cs="Symbol" w:hint="default"/>
        <w:lang w:val="cs-CZ" w:eastAsia="cs-CZ" w:bidi="cs-CZ"/>
      </w:rPr>
    </w:lvl>
    <w:lvl w:ilvl="7">
      <w:start w:val="0"/>
      <w:numFmt w:val="bullet"/>
      <w:lvlText w:val=""/>
      <w:lvlJc w:val="left"/>
      <w:pPr>
        <w:tabs>
          <w:tab w:val="num" w:pos="0"/>
        </w:tabs>
        <w:ind w:left="1754" w:hanging="187"/>
      </w:pPr>
      <w:rPr>
        <w:rFonts w:ascii="Symbol" w:hAnsi="Symbol" w:cs="Symbol" w:hint="default"/>
        <w:lang w:val="cs-CZ" w:eastAsia="cs-CZ" w:bidi="cs-CZ"/>
      </w:rPr>
    </w:lvl>
    <w:lvl w:ilvl="8">
      <w:start w:val="0"/>
      <w:numFmt w:val="bullet"/>
      <w:lvlText w:val=""/>
      <w:lvlJc w:val="left"/>
      <w:pPr>
        <w:tabs>
          <w:tab w:val="num" w:pos="0"/>
        </w:tabs>
        <w:ind w:left="1884" w:hanging="187"/>
      </w:pPr>
      <w:rPr>
        <w:rFonts w:ascii="Symbol" w:hAnsi="Symbol" w:cs="Symbol" w:hint="default"/>
        <w:lang w:val="cs-CZ" w:eastAsia="cs-CZ" w:bidi="cs-CZ"/>
      </w:rPr>
    </w:lvl>
  </w:abstractNum>
  <w:abstractNum w:abstractNumId="7">
    <w:lvl w:ilvl="0">
      <w:start w:val="1"/>
      <w:numFmt w:val="upperRoman"/>
      <w:lvlText w:val="%1."/>
      <w:lvlJc w:val="left"/>
      <w:pPr>
        <w:tabs>
          <w:tab w:val="num" w:pos="0"/>
        </w:tabs>
        <w:ind w:left="672" w:hanging="454"/>
      </w:pPr>
      <w:rPr>
        <w:sz w:val="24"/>
        <w:b/>
        <w:szCs w:val="24"/>
        <w:bCs/>
        <w:w w:val="99"/>
        <w:rFonts w:ascii="Times New Roman" w:hAnsi="Times New Roman" w:eastAsia="Times New Roman" w:cs="Times New Roman"/>
        <w:lang w:val="cs-CZ" w:eastAsia="cs-CZ" w:bidi="cs-CZ"/>
      </w:rPr>
    </w:lvl>
    <w:lvl w:ilvl="1">
      <w:start w:val="1"/>
      <w:numFmt w:val="decimal"/>
      <w:lvlText w:val="%2."/>
      <w:lvlJc w:val="left"/>
      <w:pPr>
        <w:tabs>
          <w:tab w:val="num" w:pos="0"/>
        </w:tabs>
        <w:ind w:left="1070" w:hanging="711"/>
      </w:pPr>
      <w:rPr>
        <w:spacing w:val="-10"/>
        <w:b/>
        <w:bCs/>
        <w:w w:val="99"/>
        <w:lang w:val="cs-CZ" w:eastAsia="cs-CZ" w:bidi="cs-CZ"/>
      </w:rPr>
    </w:lvl>
    <w:lvl w:ilvl="2">
      <w:start w:val="1"/>
      <w:numFmt w:val="decimal"/>
      <w:lvlText w:val="%2.%3"/>
      <w:lvlJc w:val="left"/>
      <w:pPr>
        <w:tabs>
          <w:tab w:val="num" w:pos="0"/>
        </w:tabs>
        <w:ind w:left="1068" w:hanging="708"/>
      </w:pPr>
      <w:rPr>
        <w:sz w:val="24"/>
        <w:spacing w:val="-13"/>
        <w:b/>
        <w:szCs w:val="24"/>
        <w:bCs/>
        <w:w w:val="99"/>
        <w:rFonts w:ascii="Times New Roman" w:hAnsi="Times New Roman" w:eastAsia="Times New Roman" w:cs="Times New Roman"/>
        <w:lang w:val="cs-CZ" w:eastAsia="cs-CZ" w:bidi="cs-CZ"/>
      </w:rPr>
    </w:lvl>
    <w:lvl w:ilvl="3">
      <w:start w:val="1"/>
      <w:numFmt w:val="lowerLetter"/>
      <w:lvlText w:val="%4)"/>
      <w:lvlJc w:val="left"/>
      <w:pPr>
        <w:tabs>
          <w:tab w:val="num" w:pos="0"/>
        </w:tabs>
        <w:ind w:left="926" w:hanging="348"/>
      </w:pPr>
      <w:rPr>
        <w:sz w:val="24"/>
        <w:spacing w:val="-1"/>
        <w:szCs w:val="24"/>
        <w:w w:val="100"/>
        <w:rFonts w:ascii="Times New Roman" w:hAnsi="Times New Roman" w:eastAsia="Times New Roman" w:cs="Times New Roman"/>
        <w:lang w:val="cs-CZ" w:eastAsia="cs-CZ" w:bidi="cs-CZ"/>
      </w:rPr>
    </w:lvl>
    <w:lvl w:ilvl="4">
      <w:start w:val="0"/>
      <w:numFmt w:val="bullet"/>
      <w:lvlText w:val=""/>
      <w:lvlJc w:val="left"/>
      <w:pPr>
        <w:tabs>
          <w:tab w:val="num" w:pos="0"/>
        </w:tabs>
        <w:ind w:left="1240" w:hanging="348"/>
      </w:pPr>
      <w:rPr>
        <w:rFonts w:ascii="Symbol" w:hAnsi="Symbol" w:cs="Symbol" w:hint="default"/>
        <w:lang w:val="cs-CZ" w:eastAsia="cs-CZ" w:bidi="cs-CZ"/>
      </w:rPr>
    </w:lvl>
    <w:lvl w:ilvl="5">
      <w:start w:val="0"/>
      <w:numFmt w:val="bullet"/>
      <w:lvlText w:val=""/>
      <w:lvlJc w:val="left"/>
      <w:pPr>
        <w:tabs>
          <w:tab w:val="num" w:pos="0"/>
        </w:tabs>
        <w:ind w:left="1434" w:hanging="348"/>
      </w:pPr>
      <w:rPr>
        <w:rFonts w:ascii="Symbol" w:hAnsi="Symbol" w:cs="Symbol" w:hint="default"/>
        <w:lang w:val="cs-CZ" w:eastAsia="cs-CZ" w:bidi="cs-CZ"/>
      </w:rPr>
    </w:lvl>
    <w:lvl w:ilvl="6">
      <w:start w:val="0"/>
      <w:numFmt w:val="bullet"/>
      <w:lvlText w:val=""/>
      <w:lvlJc w:val="left"/>
      <w:pPr>
        <w:tabs>
          <w:tab w:val="num" w:pos="0"/>
        </w:tabs>
        <w:ind w:left="1628" w:hanging="348"/>
      </w:pPr>
      <w:rPr>
        <w:rFonts w:ascii="Symbol" w:hAnsi="Symbol" w:cs="Symbol" w:hint="default"/>
        <w:lang w:val="cs-CZ" w:eastAsia="cs-CZ" w:bidi="cs-CZ"/>
      </w:rPr>
    </w:lvl>
    <w:lvl w:ilvl="7">
      <w:start w:val="0"/>
      <w:numFmt w:val="bullet"/>
      <w:lvlText w:val=""/>
      <w:lvlJc w:val="left"/>
      <w:pPr>
        <w:tabs>
          <w:tab w:val="num" w:pos="0"/>
        </w:tabs>
        <w:ind w:left="1822" w:hanging="348"/>
      </w:pPr>
      <w:rPr>
        <w:rFonts w:ascii="Symbol" w:hAnsi="Symbol" w:cs="Symbol" w:hint="default"/>
        <w:lang w:val="cs-CZ" w:eastAsia="cs-CZ" w:bidi="cs-CZ"/>
      </w:rPr>
    </w:lvl>
    <w:lvl w:ilvl="8">
      <w:start w:val="0"/>
      <w:numFmt w:val="bullet"/>
      <w:lvlText w:val=""/>
      <w:lvlJc w:val="left"/>
      <w:pPr>
        <w:tabs>
          <w:tab w:val="num" w:pos="0"/>
        </w:tabs>
        <w:ind w:left="2017" w:hanging="348"/>
      </w:pPr>
      <w:rPr>
        <w:rFonts w:ascii="Symbol" w:hAnsi="Symbol" w:cs="Symbol" w:hint="default"/>
        <w:lang w:val="cs-CZ" w:eastAsia="cs-CZ" w:bidi="cs-CZ"/>
      </w:rPr>
    </w:lvl>
  </w:abstractNum>
  <w:abstractNum w:abstractNumId="8">
    <w:lvl w:ilvl="0">
      <w:start w:val="1"/>
      <w:numFmt w:val="upperRoman"/>
      <w:lvlText w:val="%1."/>
      <w:lvlJc w:val="left"/>
      <w:pPr>
        <w:tabs>
          <w:tab w:val="num" w:pos="0"/>
        </w:tabs>
        <w:ind w:left="672" w:hanging="454"/>
      </w:pPr>
      <w:rPr>
        <w:sz w:val="24"/>
        <w:b/>
        <w:szCs w:val="24"/>
        <w:bCs/>
        <w:w w:val="99"/>
        <w:rFonts w:ascii="Times New Roman" w:hAnsi="Times New Roman" w:eastAsia="Times New Roman" w:cs="Times New Roman"/>
      </w:rPr>
    </w:lvl>
    <w:lvl w:ilvl="1">
      <w:start w:val="1"/>
      <w:numFmt w:val="decimal"/>
      <w:lvlText w:val="%2."/>
      <w:lvlJc w:val="left"/>
      <w:pPr>
        <w:tabs>
          <w:tab w:val="num" w:pos="0"/>
        </w:tabs>
        <w:ind w:left="1070" w:hanging="711"/>
      </w:pPr>
      <w:rPr>
        <w:spacing w:val="-10"/>
        <w:b/>
        <w:bCs/>
        <w:w w:val="99"/>
      </w:rPr>
    </w:lvl>
    <w:lvl w:ilvl="2">
      <w:start w:val="1"/>
      <w:numFmt w:val="decimal"/>
      <w:lvlText w:val="%2.%3"/>
      <w:lvlJc w:val="left"/>
      <w:pPr>
        <w:tabs>
          <w:tab w:val="num" w:pos="0"/>
        </w:tabs>
        <w:ind w:left="1068" w:hanging="708"/>
      </w:pPr>
      <w:rPr>
        <w:sz w:val="24"/>
        <w:spacing w:val="-13"/>
        <w:b/>
        <w:szCs w:val="24"/>
        <w:bCs/>
        <w:w w:val="99"/>
        <w:rFonts w:ascii="Times New Roman" w:hAnsi="Times New Roman" w:eastAsia="Times New Roman" w:cs="Times New Roman"/>
      </w:rPr>
    </w:lvl>
    <w:lvl w:ilvl="3">
      <w:start w:val="1"/>
      <w:numFmt w:val="lowerLetter"/>
      <w:lvlText w:val="%4)"/>
      <w:lvlJc w:val="left"/>
      <w:pPr>
        <w:tabs>
          <w:tab w:val="num" w:pos="0"/>
        </w:tabs>
        <w:ind w:left="926" w:hanging="348"/>
      </w:pPr>
      <w:rPr>
        <w:sz w:val="24"/>
        <w:spacing w:val="-1"/>
        <w:szCs w:val="24"/>
        <w:w w:val="100"/>
        <w:rFonts w:ascii="Times New Roman" w:hAnsi="Times New Roman" w:eastAsia="Times New Roman" w:cs="Times New Roman"/>
      </w:rPr>
    </w:lvl>
    <w:lvl w:ilvl="4">
      <w:start w:val="0"/>
      <w:numFmt w:val="bullet"/>
      <w:lvlText w:val=""/>
      <w:lvlJc w:val="left"/>
      <w:pPr>
        <w:tabs>
          <w:tab w:val="num" w:pos="0"/>
        </w:tabs>
        <w:ind w:left="1240" w:hanging="348"/>
      </w:pPr>
      <w:rPr>
        <w:rFonts w:ascii="Symbol" w:hAnsi="Symbol" w:cs="Symbol" w:hint="default"/>
      </w:rPr>
    </w:lvl>
    <w:lvl w:ilvl="5">
      <w:start w:val="0"/>
      <w:numFmt w:val="bullet"/>
      <w:lvlText w:val=""/>
      <w:lvlJc w:val="left"/>
      <w:pPr>
        <w:tabs>
          <w:tab w:val="num" w:pos="0"/>
        </w:tabs>
        <w:ind w:left="1434" w:hanging="348"/>
      </w:pPr>
      <w:rPr>
        <w:rFonts w:ascii="Symbol" w:hAnsi="Symbol" w:cs="Symbol" w:hint="default"/>
      </w:rPr>
    </w:lvl>
    <w:lvl w:ilvl="6">
      <w:start w:val="0"/>
      <w:numFmt w:val="bullet"/>
      <w:lvlText w:val=""/>
      <w:lvlJc w:val="left"/>
      <w:pPr>
        <w:tabs>
          <w:tab w:val="num" w:pos="0"/>
        </w:tabs>
        <w:ind w:left="1628" w:hanging="348"/>
      </w:pPr>
      <w:rPr>
        <w:rFonts w:ascii="Symbol" w:hAnsi="Symbol" w:cs="Symbol" w:hint="default"/>
      </w:rPr>
    </w:lvl>
    <w:lvl w:ilvl="7">
      <w:start w:val="0"/>
      <w:numFmt w:val="bullet"/>
      <w:lvlText w:val=""/>
      <w:lvlJc w:val="left"/>
      <w:pPr>
        <w:tabs>
          <w:tab w:val="num" w:pos="0"/>
        </w:tabs>
        <w:ind w:left="1822" w:hanging="348"/>
      </w:pPr>
      <w:rPr>
        <w:rFonts w:ascii="Symbol" w:hAnsi="Symbol" w:cs="Symbol" w:hint="default"/>
      </w:rPr>
    </w:lvl>
    <w:lvl w:ilvl="8">
      <w:start w:val="0"/>
      <w:numFmt w:val="bullet"/>
      <w:lvlText w:val=""/>
      <w:lvlJc w:val="left"/>
      <w:pPr>
        <w:tabs>
          <w:tab w:val="num" w:pos="0"/>
        </w:tabs>
        <w:ind w:left="2017" w:hanging="348"/>
      </w:pPr>
      <w:rPr>
        <w:rFonts w:ascii="Symbol" w:hAnsi="Symbol" w:cs="Symbol"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cs-CZ" w:eastAsia="cs-CZ" w:bidi="cs-CZ"/>
    </w:rPr>
  </w:style>
  <w:style w:type="paragraph" w:styleId="Heading1">
    <w:name w:val="Heading 1"/>
    <w:basedOn w:val="Normal"/>
    <w:uiPriority w:val="1"/>
    <w:qFormat/>
    <w:pPr>
      <w:ind w:left="1068" w:hanging="709"/>
      <w:jc w:val="both"/>
      <w:outlineLvl w:val="0"/>
    </w:pPr>
    <w:rPr>
      <w:b/>
      <w:bCs/>
      <w:sz w:val="24"/>
      <w:szCs w:val="24"/>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122a7e"/>
    <w:rPr>
      <w:rFonts w:ascii="Times New Roman" w:hAnsi="Times New Roman" w:eastAsia="Times New Roman" w:cs="Times New Roman"/>
      <w:lang w:val="cs-CZ" w:eastAsia="cs-CZ" w:bidi="cs-CZ"/>
    </w:rPr>
  </w:style>
  <w:style w:type="character" w:styleId="ZpatChar" w:customStyle="1">
    <w:name w:val="Zápatí Char"/>
    <w:basedOn w:val="DefaultParagraphFont"/>
    <w:link w:val="Zpat"/>
    <w:uiPriority w:val="99"/>
    <w:qFormat/>
    <w:rsid w:val="00122a7e"/>
    <w:rPr>
      <w:rFonts w:ascii="Times New Roman" w:hAnsi="Times New Roman" w:eastAsia="Times New Roman" w:cs="Times New Roman"/>
      <w:lang w:val="cs-CZ" w:eastAsia="cs-CZ" w:bidi="cs-CZ"/>
    </w:rPr>
  </w:style>
  <w:style w:type="character" w:styleId="InternetLink">
    <w:name w:val="Hyperlink"/>
    <w:basedOn w:val="DefaultParagraphFont"/>
    <w:uiPriority w:val="99"/>
    <w:unhideWhenUsed/>
    <w:rsid w:val="007f0e03"/>
    <w:rPr>
      <w:color w:val="0000FF" w:themeColor="hyperlink"/>
      <w:u w:val="single"/>
    </w:rPr>
  </w:style>
  <w:style w:type="character" w:styleId="TextbublinyChar" w:customStyle="1">
    <w:name w:val="Text bubliny Char"/>
    <w:basedOn w:val="DefaultParagraphFont"/>
    <w:link w:val="Textbubliny"/>
    <w:uiPriority w:val="99"/>
    <w:semiHidden/>
    <w:qFormat/>
    <w:rsid w:val="000a1851"/>
    <w:rPr>
      <w:rFonts w:ascii="Segoe UI" w:hAnsi="Segoe UI" w:eastAsia="Times New Roman" w:cs="Segoe UI"/>
      <w:sz w:val="18"/>
      <w:szCs w:val="18"/>
      <w:lang w:val="cs-CZ" w:eastAsia="cs-CZ" w:bidi="cs-CZ"/>
    </w:rPr>
  </w:style>
  <w:style w:type="character" w:styleId="Annotationreference">
    <w:name w:val="annotation reference"/>
    <w:basedOn w:val="DefaultParagraphFont"/>
    <w:uiPriority w:val="99"/>
    <w:semiHidden/>
    <w:unhideWhenUsed/>
    <w:qFormat/>
    <w:rsid w:val="000a1851"/>
    <w:rPr>
      <w:sz w:val="16"/>
      <w:szCs w:val="16"/>
    </w:rPr>
  </w:style>
  <w:style w:type="character" w:styleId="TextkomenteChar" w:customStyle="1">
    <w:name w:val="Text komentáře Char"/>
    <w:basedOn w:val="DefaultParagraphFont"/>
    <w:link w:val="Textkomente"/>
    <w:uiPriority w:val="99"/>
    <w:semiHidden/>
    <w:qFormat/>
    <w:rsid w:val="000a1851"/>
    <w:rPr>
      <w:rFonts w:ascii="Times New Roman" w:hAnsi="Times New Roman" w:eastAsia="Times New Roman" w:cs="Times New Roman"/>
      <w:sz w:val="20"/>
      <w:szCs w:val="20"/>
      <w:lang w:val="cs-CZ" w:eastAsia="cs-CZ" w:bidi="cs-CZ"/>
    </w:rPr>
  </w:style>
  <w:style w:type="character" w:styleId="PedmtkomenteChar" w:customStyle="1">
    <w:name w:val="Předmět komentáře Char"/>
    <w:basedOn w:val="TextkomenteChar"/>
    <w:link w:val="Pedmtkomente"/>
    <w:uiPriority w:val="99"/>
    <w:semiHidden/>
    <w:qFormat/>
    <w:rsid w:val="000a1851"/>
    <w:rPr>
      <w:rFonts w:ascii="Times New Roman" w:hAnsi="Times New Roman" w:eastAsia="Times New Roman" w:cs="Times New Roman"/>
      <w:b/>
      <w:bCs/>
      <w:sz w:val="20"/>
      <w:szCs w:val="20"/>
      <w:lang w:val="cs-CZ" w:eastAsia="cs-CZ" w:bidi="cs-CZ"/>
    </w:rPr>
  </w:style>
  <w:style w:type="character" w:styleId="VisitedInternetLink">
    <w:name w:val="FollowedHyperlink"/>
    <w:basedOn w:val="DefaultParagraphFont"/>
    <w:uiPriority w:val="99"/>
    <w:semiHidden/>
    <w:unhideWhenUsed/>
    <w:rsid w:val="00cc5dfd"/>
    <w:rPr>
      <w:color w:val="800080" w:themeColor="followedHyperlink"/>
      <w:u w:val="single"/>
    </w:rPr>
  </w:style>
  <w:style w:type="character" w:styleId="UnresolvedMention" w:customStyle="1">
    <w:name w:val="Unresolved Mention"/>
    <w:basedOn w:val="DefaultParagraphFont"/>
    <w:uiPriority w:val="99"/>
    <w:semiHidden/>
    <w:unhideWhenUsed/>
    <w:qFormat/>
    <w:rsid w:val="00970dff"/>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Contents1">
    <w:name w:val="TOC 1"/>
    <w:basedOn w:val="Normal"/>
    <w:uiPriority w:val="1"/>
    <w:qFormat/>
    <w:pPr>
      <w:spacing w:before="104" w:after="0"/>
      <w:ind w:left="646" w:hanging="429"/>
    </w:pPr>
    <w:rPr>
      <w:b/>
      <w:bCs/>
      <w:sz w:val="20"/>
      <w:szCs w:val="20"/>
    </w:rPr>
  </w:style>
  <w:style w:type="paragraph" w:styleId="Contents2">
    <w:name w:val="TOC 2"/>
    <w:basedOn w:val="Normal"/>
    <w:uiPriority w:val="1"/>
    <w:qFormat/>
    <w:pPr>
      <w:spacing w:before="1" w:after="0"/>
      <w:ind w:left="938" w:hanging="481"/>
    </w:pPr>
    <w:rPr>
      <w:sz w:val="16"/>
      <w:szCs w:val="16"/>
    </w:rPr>
  </w:style>
  <w:style w:type="paragraph" w:styleId="Contents3">
    <w:name w:val="TOC 3"/>
    <w:basedOn w:val="Normal"/>
    <w:uiPriority w:val="1"/>
    <w:qFormat/>
    <w:pPr>
      <w:ind w:left="938" w:hanging="481"/>
    </w:pPr>
    <w:rPr>
      <w:b/>
      <w:bCs/>
      <w:i/>
    </w:rPr>
  </w:style>
  <w:style w:type="paragraph" w:styleId="Contents4">
    <w:name w:val="TOC 4"/>
    <w:basedOn w:val="Normal"/>
    <w:uiPriority w:val="1"/>
    <w:qFormat/>
    <w:pPr>
      <w:ind w:left="1418" w:hanging="721"/>
    </w:pPr>
    <w:rPr>
      <w:i/>
      <w:sz w:val="20"/>
      <w:szCs w:val="20"/>
    </w:rPr>
  </w:style>
  <w:style w:type="paragraph" w:styleId="ListParagraph">
    <w:name w:val="List Paragraph"/>
    <w:basedOn w:val="Normal"/>
    <w:uiPriority w:val="1"/>
    <w:qFormat/>
    <w:pPr>
      <w:ind w:left="1634" w:hanging="709"/>
    </w:pPr>
    <w:rPr/>
  </w:style>
  <w:style w:type="paragraph" w:styleId="TableParagraph" w:customStyle="1">
    <w:name w:val="Table Paragraph"/>
    <w:basedOn w:val="Normal"/>
    <w:uiPriority w:val="1"/>
    <w:qFormat/>
    <w:pPr>
      <w:ind w:left="108" w:hanging="0"/>
    </w:pPr>
    <w:rPr/>
  </w:style>
  <w:style w:type="paragraph" w:styleId="HeaderandFooter">
    <w:name w:val="Header and Footer"/>
    <w:basedOn w:val="Normal"/>
    <w:qFormat/>
    <w:pPr/>
    <w:rPr/>
  </w:style>
  <w:style w:type="paragraph" w:styleId="Header">
    <w:name w:val="Header"/>
    <w:basedOn w:val="Normal"/>
    <w:link w:val="ZhlavChar"/>
    <w:uiPriority w:val="99"/>
    <w:unhideWhenUsed/>
    <w:rsid w:val="00122a7e"/>
    <w:pPr>
      <w:tabs>
        <w:tab w:val="clear" w:pos="720"/>
        <w:tab w:val="center" w:pos="4536" w:leader="none"/>
        <w:tab w:val="right" w:pos="9072" w:leader="none"/>
      </w:tabs>
    </w:pPr>
    <w:rPr/>
  </w:style>
  <w:style w:type="paragraph" w:styleId="Footer">
    <w:name w:val="Footer"/>
    <w:basedOn w:val="Normal"/>
    <w:link w:val="ZpatChar"/>
    <w:uiPriority w:val="99"/>
    <w:unhideWhenUsed/>
    <w:rsid w:val="00122a7e"/>
    <w:pPr>
      <w:tabs>
        <w:tab w:val="clear" w:pos="720"/>
        <w:tab w:val="center" w:pos="4536" w:leader="none"/>
        <w:tab w:val="right" w:pos="9072" w:leader="none"/>
      </w:tabs>
    </w:pPr>
    <w:rPr/>
  </w:style>
  <w:style w:type="paragraph" w:styleId="NoSpacing">
    <w:name w:val="No Spacing"/>
    <w:uiPriority w:val="1"/>
    <w:qFormat/>
    <w:rsid w:val="0059389c"/>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BalloonText">
    <w:name w:val="Balloon Text"/>
    <w:basedOn w:val="Normal"/>
    <w:link w:val="TextbublinyChar"/>
    <w:uiPriority w:val="99"/>
    <w:semiHidden/>
    <w:unhideWhenUsed/>
    <w:qFormat/>
    <w:rsid w:val="000a1851"/>
    <w:pPr/>
    <w:rPr>
      <w:rFonts w:ascii="Segoe UI" w:hAnsi="Segoe UI" w:cs="Segoe UI"/>
      <w:sz w:val="18"/>
      <w:szCs w:val="18"/>
    </w:rPr>
  </w:style>
  <w:style w:type="paragraph" w:styleId="Annotationtext">
    <w:name w:val="annotation text"/>
    <w:basedOn w:val="Normal"/>
    <w:link w:val="TextkomenteChar"/>
    <w:uiPriority w:val="99"/>
    <w:semiHidden/>
    <w:unhideWhenUsed/>
    <w:qFormat/>
    <w:rsid w:val="000a1851"/>
    <w:pPr/>
    <w:rPr>
      <w:sz w:val="20"/>
      <w:szCs w:val="20"/>
    </w:rPr>
  </w:style>
  <w:style w:type="paragraph" w:styleId="Annotationsubject">
    <w:name w:val="annotation subject"/>
    <w:basedOn w:val="Annotationtext"/>
    <w:next w:val="Annotationtext"/>
    <w:link w:val="PedmtkomenteChar"/>
    <w:uiPriority w:val="99"/>
    <w:semiHidden/>
    <w:unhideWhenUsed/>
    <w:qFormat/>
    <w:rsid w:val="000a1851"/>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Mkatabulky">
    <w:name w:val="Table Grid"/>
    <w:basedOn w:val="Normlntabulka"/>
    <w:uiPriority w:val="39"/>
    <w:rsid w:val="00a268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yperlink" Target="https://www.nkp.cz/soubory/eticky-kodex.pdf" TargetMode="External"/><Relationship Id="rId7" Type="http://schemas.openxmlformats.org/officeDocument/2006/relationships/hyperlink" Target="https://nkp.cz/soubory/ostatni/eticky_kodex_vp.pdf" TargetMode="External"/><Relationship Id="rId8" Type="http://schemas.openxmlformats.org/officeDocument/2006/relationships/hyperlink" Target="https://www.nkp.cz/o-knihovne/zakladni-informace/nabidka-nepotrebneho-majetku" TargetMode="External"/><Relationship Id="rId9" Type="http://schemas.openxmlformats.org/officeDocument/2006/relationships/hyperlink" Target="https://nen.nipez.cz/profil/NKCR" TargetMode="External"/><Relationship Id="rId10" Type="http://schemas.openxmlformats.org/officeDocument/2006/relationships/hyperlink" Target="https://www.nkp.cz/o-knihovne/zakladni-informace/verejne-zakazky" TargetMode="External"/><Relationship Id="rId11" Type="http://schemas.openxmlformats.org/officeDocument/2006/relationships/hyperlink" Target="https://www.nkp.cz/o-knihovne/zakladni-informace/protikorupcni-program" TargetMode="External"/><Relationship Id="rId12" Type="http://schemas.openxmlformats.org/officeDocument/2006/relationships/hyperlink" Target="https://www.nkp.cz/soubory/ostatni/org-rad.pdf" TargetMode="External"/><Relationship Id="rId13" Type="http://schemas.openxmlformats.org/officeDocument/2006/relationships/hyperlink" Target="https://nkp.cz/soubory/ostatni/org-rad-pril2.pdf" TargetMode="External"/><Relationship Id="rId14" Type="http://schemas.openxmlformats.org/officeDocument/2006/relationships/hyperlink" Target="https://www.nkp.cz/o-knihovne/zakladni-informace/informace-podle-zakona-c.106-1999-sb" TargetMode="External"/><Relationship Id="rId15" Type="http://schemas.openxmlformats.org/officeDocument/2006/relationships/hyperlink" Target="https://www.nkp.cz/o-knihovne/zakladni-informace/kontakty/telefonni-a-e-mailovy-seznam-nk/telefonni-a-e-mailovy-seznam-zamestnancu-nk-cr" TargetMode="Externa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LibreOffice/7.2.7.2$Linux_X86_64 LibreOffice_project/20$Build-2</Application>
  <AppVersion>15.0000</AppVersion>
  <Pages>15</Pages>
  <Words>3569</Words>
  <Characters>23158</Characters>
  <CharactersWithSpaces>26596</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2022-07-26T09:05:21Z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2022-02-01T00:00:00Z</vt:filetime>
  </property>
</Properties>
</file>